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C7E40">
      <w:pPr>
        <w:rPr>
          <w:rFonts w:hint="eastAsia" w:ascii="黑体"/>
          <w:szCs w:val="21"/>
        </w:rPr>
      </w:pPr>
    </w:p>
    <w:p w14:paraId="1B48B862">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bookmarkStart w:id="0" w:name="_Toc942016"/>
      <w:bookmarkStart w:id="1" w:name="_Toc31202"/>
      <w:bookmarkStart w:id="2" w:name="_Toc14794"/>
      <w:bookmarkStart w:id="3" w:name="_Toc1651879"/>
      <w:bookmarkStart w:id="4" w:name="_Toc24964"/>
      <w:bookmarkStart w:id="5" w:name="_Toc15743"/>
      <w:bookmarkStart w:id="6" w:name="_Toc942345"/>
      <w:r>
        <w:rPr>
          <w:rFonts w:hint="eastAsia" w:ascii="黑体" w:hAnsi="黑体" w:eastAsia="黑体" w:cs="黑体"/>
          <w:bCs/>
          <w:smallCaps w:val="0"/>
          <w:kern w:val="0"/>
          <w:sz w:val="21"/>
          <w:szCs w:val="21"/>
        </w:rPr>
        <w:t>ICS XX.XXX.XX</w:t>
      </w:r>
    </w:p>
    <w:p w14:paraId="4FD64651">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r>
        <w:rPr>
          <w:rFonts w:hint="eastAsia" w:ascii="黑体" w:hAnsi="黑体" w:eastAsia="黑体" w:cs="黑体"/>
          <w:bCs/>
          <w:smallCaps w:val="0"/>
          <w:kern w:val="0"/>
          <w:sz w:val="21"/>
          <w:szCs w:val="21"/>
        </w:rPr>
        <w:t>CCS</w:t>
      </w:r>
      <w:r>
        <w:rPr>
          <w:rFonts w:hint="eastAsia" w:ascii="黑体" w:hAnsi="黑体" w:eastAsia="黑体" w:cs="黑体"/>
          <w:bCs/>
          <w:smallCaps w:val="0"/>
          <w:color w:val="000000"/>
          <w:kern w:val="0"/>
          <w:sz w:val="21"/>
          <w:szCs w:val="21"/>
          <w:lang w:bidi="ar"/>
        </w:rPr>
        <w:t xml:space="preserve"> X XX</w:t>
      </w:r>
    </w:p>
    <w:p w14:paraId="6A546C89">
      <w:pPr>
        <w:framePr w:w="2546" w:h="1389" w:hRule="exact" w:hSpace="181" w:vSpace="181" w:wrap="around" w:vAnchor="margin" w:hAnchor="margin" w:x="6522" w:y="398" w:anchorLock="1"/>
        <w:widowControl/>
        <w:shd w:val="solid" w:color="FFFFFF" w:fill="FFFFFF"/>
        <w:spacing w:line="0" w:lineRule="atLeast"/>
        <w:jc w:val="right"/>
        <w:rPr>
          <w:rFonts w:ascii="Times New Roman" w:hAnsi="Times New Roman"/>
          <w:b/>
          <w:smallCaps w:val="0"/>
          <w:w w:val="170"/>
          <w:kern w:val="0"/>
          <w:sz w:val="96"/>
          <w:szCs w:val="96"/>
        </w:rPr>
      </w:pPr>
    </w:p>
    <w:p w14:paraId="43D4BF2D">
      <w:pPr>
        <w:framePr w:w="9639" w:h="813" w:hRule="exact" w:hSpace="181" w:vSpace="181" w:wrap="around" w:vAnchor="page" w:hAnchor="page" w:x="1330" w:y="2268" w:anchorLock="1"/>
        <w:kinsoku w:val="0"/>
        <w:overflowPunct w:val="0"/>
        <w:autoSpaceDE w:val="0"/>
        <w:autoSpaceDN w:val="0"/>
        <w:spacing w:line="0" w:lineRule="atLeast"/>
        <w:jc w:val="distribute"/>
        <w:rPr>
          <w:rFonts w:hint="eastAsia" w:ascii="黑体" w:hAnsi="黑体" w:eastAsia="黑体" w:cs="黑体"/>
          <w:b/>
          <w:bCs/>
          <w:smallCaps w:val="0"/>
          <w:spacing w:val="20"/>
          <w:w w:val="148"/>
          <w:kern w:val="0"/>
          <w:sz w:val="48"/>
          <w:szCs w:val="20"/>
        </w:rPr>
      </w:pPr>
      <w:r>
        <w:rPr>
          <w:rFonts w:hint="eastAsia" w:ascii="黑体" w:hAnsi="黑体" w:eastAsia="黑体" w:cs="黑体"/>
          <w:b/>
          <w:bCs/>
          <w:smallCaps w:val="0"/>
          <w:spacing w:val="20"/>
          <w:w w:val="148"/>
          <w:kern w:val="0"/>
          <w:sz w:val="48"/>
          <w:szCs w:val="20"/>
        </w:rPr>
        <w:t>团体标准</w:t>
      </w:r>
    </w:p>
    <w:p w14:paraId="53B70168">
      <w:pPr>
        <w:framePr w:w="9140" w:h="792" w:hRule="exact" w:hSpace="284" w:wrap="around" w:vAnchor="page" w:hAnchor="page" w:x="1645" w:y="3360" w:anchorLock="1"/>
        <w:widowControl/>
        <w:wordWrap w:val="0"/>
        <w:jc w:val="right"/>
        <w:rPr>
          <w:rFonts w:ascii="黑体" w:hAnsi="Times New Roman" w:eastAsia="黑体"/>
          <w:smallCaps w:val="0"/>
          <w:kern w:val="0"/>
          <w:sz w:val="28"/>
          <w:szCs w:val="28"/>
        </w:rPr>
      </w:pPr>
      <w:r>
        <w:rPr>
          <w:rFonts w:hint="eastAsia" w:ascii="黑体" w:hAnsi="黑体" w:eastAsia="黑体" w:cs="黑体"/>
          <w:smallCaps w:val="0"/>
          <w:kern w:val="0"/>
          <w:sz w:val="28"/>
          <w:szCs w:val="28"/>
        </w:rPr>
        <w:t>T/FDSA 0XXX—2025</w:t>
      </w:r>
    </w:p>
    <w:p w14:paraId="2EBDC760">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41968A7D">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483CBBAD">
      <w:pPr>
        <w:framePr w:w="9639" w:h="6917" w:hRule="exact" w:wrap="around" w:vAnchor="page" w:hAnchor="page" w:xAlign="center" w:y="6408" w:anchorLock="1"/>
        <w:jc w:val="center"/>
        <w:rPr>
          <w:rFonts w:hint="eastAsia"/>
        </w:rPr>
      </w:pPr>
      <w:r>
        <w:rPr>
          <w:rFonts w:hint="eastAsia" w:ascii="黑体" w:hAnsi="黑体" w:eastAsia="黑体" w:cs="黑体"/>
          <w:spacing w:val="-2"/>
          <w:sz w:val="52"/>
          <w:szCs w:val="52"/>
          <w:lang w:eastAsia="zh-CN"/>
        </w:rPr>
        <w:t>组织工程产品</w:t>
      </w:r>
      <w:r>
        <w:rPr>
          <w:rFonts w:ascii="黑体" w:hAnsi="黑体" w:eastAsia="黑体" w:cs="黑体"/>
          <w:spacing w:val="-2"/>
          <w:sz w:val="52"/>
          <w:szCs w:val="52"/>
          <w:lang w:eastAsia="zh-CN"/>
        </w:rPr>
        <w:t xml:space="preserve"> </w:t>
      </w:r>
      <w:r>
        <w:rPr>
          <w:rFonts w:hint="eastAsia" w:ascii="黑体" w:hAnsi="黑体" w:eastAsia="黑体" w:cs="黑体"/>
          <w:spacing w:val="-2"/>
          <w:sz w:val="52"/>
          <w:szCs w:val="52"/>
          <w:lang w:eastAsia="zh-CN"/>
        </w:rPr>
        <w:t>面部硬组织畸形用组织工程软骨人体移植后评估要求</w:t>
      </w:r>
    </w:p>
    <w:p w14:paraId="6D296D38">
      <w:pPr>
        <w:framePr w:w="9639" w:h="6917" w:hRule="exact" w:wrap="around" w:vAnchor="page" w:hAnchor="page" w:xAlign="center" w:y="6408" w:anchorLock="1"/>
        <w:pBdr>
          <w:top w:val="none" w:sz="0" w:space="0"/>
          <w:left w:val="none" w:sz="0" w:space="0"/>
          <w:bottom w:val="none" w:sz="0" w:space="0"/>
          <w:right w:val="none" w:sz="0" w:space="0"/>
        </w:pBdr>
        <w:spacing w:line="249" w:lineRule="auto"/>
        <w:jc w:val="center"/>
        <w:rPr>
          <w:rFonts w:ascii="Times New Roman" w:hAnsi="Times New Roman" w:cs="Times New Roman" w:eastAsiaTheme="minorEastAsia"/>
          <w:sz w:val="28"/>
          <w:szCs w:val="28"/>
          <w:lang w:eastAsia="zh-CN"/>
        </w:rPr>
      </w:pPr>
    </w:p>
    <w:p w14:paraId="761D796F">
      <w:pPr>
        <w:framePr w:w="9639" w:h="6917" w:hRule="exact" w:wrap="around" w:vAnchor="page" w:hAnchor="page" w:xAlign="center" w:y="6408" w:anchorLock="1"/>
        <w:pBdr>
          <w:top w:val="none" w:sz="0" w:space="0"/>
          <w:left w:val="none" w:sz="0" w:space="0"/>
          <w:bottom w:val="none" w:sz="0" w:space="0"/>
          <w:right w:val="none" w:sz="0" w:space="0"/>
        </w:pBdr>
        <w:spacing w:line="249" w:lineRule="auto"/>
        <w:jc w:val="center"/>
        <w:rPr>
          <w:rFonts w:eastAsiaTheme="minorEastAsia"/>
          <w:lang w:eastAsia="zh-CN"/>
        </w:rPr>
      </w:pPr>
      <w:r>
        <w:rPr>
          <w:rFonts w:ascii="Times New Roman" w:hAnsi="Times New Roman" w:cs="Times New Roman" w:eastAsiaTheme="minorEastAsia"/>
          <w:sz w:val="28"/>
          <w:szCs w:val="28"/>
          <w:lang w:eastAsia="zh-CN"/>
        </w:rPr>
        <w:t>Requirements for the Assessment of Tissue-Engineered Cartilage Transplanted in Humans for the Correction of Facial Hard Tissue Deformities</w:t>
      </w:r>
    </w:p>
    <w:p w14:paraId="220171AE">
      <w:pPr>
        <w:framePr w:w="9639" w:h="6917" w:hRule="exact" w:wrap="around" w:vAnchor="page" w:hAnchor="page" w:xAlign="center" w:y="6408" w:anchorLock="1"/>
        <w:spacing w:before="440" w:line="400" w:lineRule="exact"/>
        <w:jc w:val="center"/>
        <w:textAlignment w:val="center"/>
        <w:rPr>
          <w:rFonts w:ascii="宋体" w:hAnsi="Times New Roman"/>
          <w:smallCaps w:val="0"/>
          <w:kern w:val="0"/>
          <w:sz w:val="28"/>
          <w:szCs w:val="28"/>
        </w:rPr>
      </w:pPr>
      <w:r>
        <w:rPr>
          <w:rFonts w:hint="eastAsia" w:ascii="宋体" w:hAnsi="Times New Roman"/>
          <w:smallCaps w:val="0"/>
          <w:kern w:val="0"/>
          <w:sz w:val="28"/>
          <w:szCs w:val="28"/>
        </w:rPr>
        <w:t>（</w:t>
      </w:r>
      <w:r>
        <w:rPr>
          <w:rFonts w:hint="eastAsia" w:ascii="宋体" w:hAnsi="Times New Roman"/>
          <w:smallCaps w:val="0"/>
          <w:kern w:val="0"/>
          <w:sz w:val="28"/>
          <w:szCs w:val="28"/>
          <w:lang w:val="en-US" w:eastAsia="zh-CN"/>
        </w:rPr>
        <w:t>征求意见稿</w:t>
      </w:r>
      <w:r>
        <w:rPr>
          <w:rFonts w:hint="eastAsia" w:ascii="宋体" w:hAnsi="Times New Roman"/>
          <w:smallCaps w:val="0"/>
          <w:kern w:val="0"/>
          <w:sz w:val="28"/>
          <w:szCs w:val="28"/>
        </w:rPr>
        <w:t>）</w:t>
      </w:r>
    </w:p>
    <w:p w14:paraId="2C72DCC1">
      <w:pPr>
        <w:framePr w:w="3997" w:h="471" w:hRule="exact" w:vSpace="181" w:wrap="around" w:vAnchor="page" w:hAnchor="page" w:x="1419" w:y="14097" w:anchorLock="1"/>
        <w:widowControl/>
        <w:jc w:val="lef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Times New Roman"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发布</w:t>
      </w:r>
      <w:r>
        <w:rPr>
          <w:rFonts w:ascii="Times New Roman" w:hAnsi="Times New Roman" w:eastAsia="黑体"/>
          <w:smallCaps w:val="0"/>
          <w:kern w:val="0"/>
          <w:sz w:val="28"/>
          <w:szCs w:val="20"/>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h2s81gAAAAsBAAAPAAAAAAAAAAEAIAAAACIAAABkcnMvZG93bnJldi54bWxQSwECFAAUAAAA&#10;CACHTuJAK+VV/fABAADFAwAADgAAAAAAAAABACAAAAAlAQAAZHJzL2Uyb0RvYy54bWxQSwUGAAAA&#10;AAYABgBZAQAAhwUAAAAA&#10;">
                <v:path arrowok="t"/>
                <v:fill on="f" focussize="0,0"/>
                <v:stroke color="#000000" joinstyle="round"/>
                <v:imagedata o:title=""/>
                <o:lock v:ext="edit" aspectratio="f"/>
                <w10:anchorlock/>
              </v:line>
            </w:pict>
          </mc:Fallback>
        </mc:AlternateContent>
      </w:r>
    </w:p>
    <w:p w14:paraId="4D8BA8F6">
      <w:pPr>
        <w:framePr w:w="3997" w:h="471" w:hRule="exact" w:vSpace="181" w:wrap="around" w:vAnchor="page" w:hAnchor="page" w:x="7089" w:y="14097" w:anchorLock="1"/>
        <w:widowControl/>
        <w:jc w:val="righ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Times New Roman" w:hAnsi="Times New Roman" w:eastAsia="黑体"/>
          <w:smallCaps w:val="0"/>
          <w:kern w:val="0"/>
          <w:sz w:val="28"/>
          <w:szCs w:val="20"/>
        </w:rPr>
        <w:t xml:space="preserve"> </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实施</w:t>
      </w:r>
    </w:p>
    <w:p w14:paraId="3D6A20FC">
      <w:pPr>
        <w:framePr w:w="7937" w:h="1134" w:hRule="exact" w:hSpace="125" w:vSpace="1134" w:wrap="around" w:vAnchor="margin" w:hAnchor="page" w:x="2359" w:y="14809" w:anchorLock="1"/>
        <w:widowControl/>
        <w:jc w:val="center"/>
        <w:rPr>
          <w:sz w:val="28"/>
          <w:szCs w:val="28"/>
          <w:lang w:eastAsia="zh-CN"/>
        </w:rPr>
        <w:sectPr>
          <w:headerReference r:id="rId4" w:type="first"/>
          <w:footerReference r:id="rId5" w:type="first"/>
          <w:headerReference r:id="rId3" w:type="default"/>
          <w:pgSz w:w="11906" w:h="16839"/>
          <w:pgMar w:top="588" w:right="820" w:bottom="0" w:left="1359" w:header="0" w:footer="0" w:gutter="0"/>
          <w:cols w:space="720" w:num="1"/>
          <w:titlePg/>
          <w:docGrid w:linePitch="286" w:charSpace="0"/>
        </w:sectPr>
      </w:pPr>
      <w:r>
        <w:rPr>
          <w:rFonts w:hint="eastAsia" w:ascii="宋体" w:hAnsi="Times New Roman"/>
          <w:b/>
          <w:smallCaps w:val="0"/>
          <w:spacing w:val="20"/>
          <w:w w:val="135"/>
          <w:kern w:val="0"/>
          <w:sz w:val="28"/>
          <w:szCs w:val="20"/>
        </w:rPr>
        <w:t xml:space="preserve">中国食品药品企业质量安全促进会   </w:t>
      </w:r>
      <w:r>
        <w:rPr>
          <w:rFonts w:hint="eastAsia" w:ascii="黑体" w:hAnsi="黑体" w:eastAsia="黑体" w:cs="黑体"/>
          <w:bCs/>
          <w:smallCaps w:val="0"/>
          <w:spacing w:val="20"/>
          <w:w w:val="135"/>
          <w:kern w:val="0"/>
          <w:sz w:val="28"/>
          <w:szCs w:val="28"/>
        </w:rPr>
        <w:t>发布</w:t>
      </w:r>
      <w:r>
        <w:rPr>
          <w:rFonts w:ascii="宋体" w:hAnsi="Times New Roman"/>
          <w:smallCaps w:val="0"/>
          <w:kern w:val="0"/>
          <w:sz w:val="21"/>
          <w:szCs w:val="20"/>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2312670</wp:posOffset>
                </wp:positionV>
                <wp:extent cx="6120130" cy="0"/>
                <wp:effectExtent l="0" t="4445" r="0" b="508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top:182.1pt;height:0pt;width:481.9pt;mso-position-horizontal:left;mso-position-horizontal-relative:margin;z-index:251661312;mso-width-relative:page;mso-height-relative:page;" filled="f" stroked="t" coordsize="21600,21600" o:gfxdata="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iQ0KXVAAAACAEAAA8AAAAAAAAAAQAgAAAAIgAAAGRycy9kb3ducmV2LnhtbFBLAQIUABQAAAAI&#10;AIdO4kA/0TpF8AEAAMUDAAAOAAAAAAAAAAEAIAAAACQBAABkcnMvZTJvRG9jLnhtbFBLBQYAAAAA&#10;BgAGAFkBAACGBQAAAAA=&#10;">
                <v:path arrowok="t"/>
                <v:fill on="f" focussize="0,0"/>
                <v:stroke color="#000000" joinstyle="round"/>
                <v:imagedata o:title=""/>
                <o:lock v:ext="edit" aspectratio="f"/>
              </v:line>
            </w:pict>
          </mc:Fallback>
        </mc:AlternateContent>
      </w:r>
      <w:bookmarkEnd w:id="0"/>
      <w:bookmarkEnd w:id="1"/>
      <w:bookmarkEnd w:id="2"/>
      <w:bookmarkEnd w:id="3"/>
      <w:bookmarkEnd w:id="4"/>
      <w:bookmarkEnd w:id="5"/>
      <w:bookmarkEnd w:id="6"/>
    </w:p>
    <w:p w14:paraId="70EB1A34">
      <w:pPr>
        <w:spacing w:line="347" w:lineRule="auto"/>
        <w:rPr>
          <w:lang w:eastAsia="zh-CN"/>
        </w:rPr>
      </w:pPr>
    </w:p>
    <w:p w14:paraId="06593AB3">
      <w:pPr>
        <w:pStyle w:val="5"/>
        <w:spacing w:before="101" w:line="228" w:lineRule="auto"/>
        <w:jc w:val="center"/>
        <w:rPr>
          <w:rFonts w:hint="eastAsia"/>
          <w:sz w:val="31"/>
          <w:szCs w:val="31"/>
          <w:lang w:eastAsia="zh-CN"/>
        </w:rPr>
      </w:pPr>
      <w:r>
        <w:rPr>
          <w:spacing w:val="-22"/>
          <w:sz w:val="31"/>
          <w:szCs w:val="31"/>
          <w:lang w:eastAsia="zh-CN"/>
        </w:rPr>
        <w:t>目</w:t>
      </w:r>
      <w:r>
        <w:rPr>
          <w:spacing w:val="8"/>
          <w:sz w:val="31"/>
          <w:szCs w:val="31"/>
          <w:lang w:eastAsia="zh-CN"/>
        </w:rPr>
        <w:t xml:space="preserve">    </w:t>
      </w:r>
      <w:r>
        <w:rPr>
          <w:spacing w:val="-22"/>
          <w:sz w:val="31"/>
          <w:szCs w:val="31"/>
          <w:lang w:eastAsia="zh-CN"/>
        </w:rPr>
        <w:t>次</w:t>
      </w:r>
    </w:p>
    <w:p w14:paraId="282D979B">
      <w:pPr>
        <w:spacing w:line="417" w:lineRule="auto"/>
        <w:rPr>
          <w:lang w:eastAsia="zh-CN"/>
        </w:rPr>
      </w:pPr>
    </w:p>
    <w:sdt>
      <w:sdtPr>
        <w:rPr>
          <w:rFonts w:ascii="宋体" w:hAnsi="宋体" w:eastAsia="宋体" w:cs="宋体"/>
          <w:sz w:val="21"/>
          <w:szCs w:val="20"/>
        </w:rPr>
        <w:id w:val="147461084"/>
        <w:docPartObj>
          <w:docPartGallery w:val="Table of Contents"/>
          <w:docPartUnique/>
        </w:docPartObj>
      </w:sdtPr>
      <w:sdtEndPr>
        <w:rPr>
          <w:rFonts w:ascii="宋体" w:hAnsi="宋体" w:eastAsia="宋体" w:cs="宋体"/>
          <w:sz w:val="21"/>
          <w:szCs w:val="20"/>
        </w:rPr>
      </w:sdtEndPr>
      <w:sdtContent>
        <w:p w14:paraId="397A893D">
          <w:pPr>
            <w:pStyle w:val="8"/>
            <w:keepNext w:val="0"/>
            <w:keepLines w:val="0"/>
            <w:pageBreakBefore w:val="0"/>
            <w:widowControl/>
            <w:tabs>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TOC \o "1-2" \u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pacing w:val="-2"/>
              <w:sz w:val="21"/>
              <w:szCs w:val="21"/>
              <w:lang w:eastAsia="zh-CN"/>
            </w:rPr>
            <w:t>前</w:t>
          </w:r>
          <w:r>
            <w:rPr>
              <w:rFonts w:hint="eastAsia" w:asciiTheme="minorEastAsia" w:hAnsiTheme="minorEastAsia" w:eastAsiaTheme="minorEastAsia" w:cstheme="minorEastAsia"/>
              <w:spacing w:val="11"/>
              <w:sz w:val="21"/>
              <w:szCs w:val="21"/>
              <w:lang w:eastAsia="zh-CN"/>
            </w:rPr>
            <w:t xml:space="preserve">    </w:t>
          </w:r>
          <w:r>
            <w:rPr>
              <w:rFonts w:hint="eastAsia" w:asciiTheme="minorEastAsia" w:hAnsiTheme="minorEastAsia" w:eastAsiaTheme="minorEastAsia" w:cstheme="minorEastAsia"/>
              <w:spacing w:val="-2"/>
              <w:sz w:val="21"/>
              <w:szCs w:val="21"/>
              <w:lang w:eastAsia="zh-CN"/>
            </w:rPr>
            <w:t>言</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3</w:t>
          </w:r>
          <w:r>
            <w:rPr>
              <w:rFonts w:hint="eastAsia" w:asciiTheme="minorEastAsia" w:hAnsiTheme="minorEastAsia" w:eastAsiaTheme="minorEastAsia" w:cstheme="minorEastAsia"/>
              <w:sz w:val="21"/>
              <w:szCs w:val="21"/>
            </w:rPr>
            <w:fldChar w:fldCharType="end"/>
          </w:r>
        </w:p>
        <w:p w14:paraId="2CEFBD4E">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z w:val="21"/>
              <w:szCs w:val="21"/>
              <w:lang w:eastAsia="zh-CN"/>
            </w:rPr>
            <w:t>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范围</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043E3281">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规范性引用文件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6124382F">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术语和定义</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458C3B31">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基本要求</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2FC791A8">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产品合规性</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162B9F1E">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伦理与合规要求</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22840782">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风险控制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_Toc215049719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3E20D640">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评估周期</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_Toc215049720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0CC82ECB">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评估方法</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_Toc215049721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76B7D78B">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形态学评估</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_Toc215049722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5A93CF90">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安全性评估</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_Toc215049726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6E9D75AD">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功能与患者报告结局</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_Toc215049729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7</w:t>
          </w:r>
          <w:r>
            <w:rPr>
              <w:rFonts w:hint="eastAsia" w:asciiTheme="minorEastAsia" w:hAnsiTheme="minorEastAsia" w:eastAsiaTheme="minorEastAsia" w:cstheme="minorEastAsia"/>
              <w:sz w:val="21"/>
              <w:szCs w:val="21"/>
            </w:rPr>
            <w:fldChar w:fldCharType="end"/>
          </w:r>
        </w:p>
        <w:p w14:paraId="4127D768">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部位特异性评估要求</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_Toc215049732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8</w:t>
          </w:r>
          <w:r>
            <w:rPr>
              <w:rFonts w:hint="eastAsia" w:asciiTheme="minorEastAsia" w:hAnsiTheme="minorEastAsia" w:eastAsiaTheme="minorEastAsia" w:cstheme="minorEastAsia"/>
              <w:sz w:val="21"/>
              <w:szCs w:val="21"/>
            </w:rPr>
            <w:fldChar w:fldCharType="end"/>
          </w:r>
        </w:p>
        <w:p w14:paraId="14FDE050">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评估指标与判定标准</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_Toc215049735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8</w:t>
          </w:r>
          <w:r>
            <w:rPr>
              <w:rFonts w:hint="eastAsia" w:asciiTheme="minorEastAsia" w:hAnsiTheme="minorEastAsia" w:eastAsiaTheme="minorEastAsia" w:cstheme="minorEastAsia"/>
              <w:sz w:val="21"/>
              <w:szCs w:val="21"/>
            </w:rPr>
            <w:fldChar w:fldCharType="end"/>
          </w:r>
        </w:p>
        <w:p w14:paraId="6A930D2A">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形态学指标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_Toc215049736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8</w:t>
          </w:r>
          <w:r>
            <w:rPr>
              <w:rFonts w:hint="eastAsia" w:asciiTheme="minorEastAsia" w:hAnsiTheme="minorEastAsia" w:eastAsiaTheme="minorEastAsia" w:cstheme="minorEastAsia"/>
              <w:sz w:val="21"/>
              <w:szCs w:val="21"/>
            </w:rPr>
            <w:fldChar w:fldCharType="end"/>
          </w:r>
        </w:p>
        <w:p w14:paraId="266CF5A0">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安全性指标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_Toc215049737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8</w:t>
          </w:r>
          <w:r>
            <w:rPr>
              <w:rFonts w:hint="eastAsia" w:asciiTheme="minorEastAsia" w:hAnsiTheme="minorEastAsia" w:eastAsiaTheme="minorEastAsia" w:cstheme="minorEastAsia"/>
              <w:sz w:val="21"/>
              <w:szCs w:val="21"/>
            </w:rPr>
            <w:fldChar w:fldCharType="end"/>
          </w:r>
        </w:p>
        <w:p w14:paraId="3D17CE25">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功能指标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_Toc215049738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8</w:t>
          </w:r>
          <w:r>
            <w:rPr>
              <w:rFonts w:hint="eastAsia" w:asciiTheme="minorEastAsia" w:hAnsiTheme="minorEastAsia" w:eastAsiaTheme="minorEastAsia" w:cstheme="minorEastAsia"/>
              <w:sz w:val="21"/>
              <w:szCs w:val="21"/>
            </w:rPr>
            <w:fldChar w:fldCharType="end"/>
          </w:r>
        </w:p>
        <w:p w14:paraId="554C452C">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患者报告结局指标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_Toc215049739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9</w:t>
          </w:r>
          <w:r>
            <w:rPr>
              <w:rFonts w:hint="eastAsia" w:asciiTheme="minorEastAsia" w:hAnsiTheme="minorEastAsia" w:eastAsiaTheme="minorEastAsia" w:cstheme="minorEastAsia"/>
              <w:sz w:val="21"/>
              <w:szCs w:val="21"/>
            </w:rPr>
            <w:fldChar w:fldCharType="end"/>
          </w:r>
        </w:p>
        <w:p w14:paraId="6A0679C1">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6.5.</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长期效果判定</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9</w:t>
          </w:r>
          <w:r>
            <w:rPr>
              <w:rFonts w:hint="eastAsia" w:asciiTheme="minorEastAsia" w:hAnsiTheme="minorEastAsia" w:eastAsiaTheme="minorEastAsia" w:cstheme="minorEastAsia"/>
              <w:sz w:val="21"/>
              <w:szCs w:val="21"/>
            </w:rPr>
            <w:fldChar w:fldCharType="end"/>
          </w:r>
        </w:p>
        <w:p w14:paraId="1579D9FA">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评估实施流程</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9</w:t>
          </w:r>
          <w:r>
            <w:rPr>
              <w:rFonts w:hint="eastAsia" w:asciiTheme="minorEastAsia" w:hAnsiTheme="minorEastAsia" w:eastAsiaTheme="minorEastAsia" w:cstheme="minorEastAsia"/>
              <w:sz w:val="21"/>
              <w:szCs w:val="21"/>
            </w:rPr>
            <w:fldChar w:fldCharType="end"/>
          </w:r>
        </w:p>
        <w:p w14:paraId="7EABFEC5">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评估准备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9</w:t>
          </w:r>
          <w:r>
            <w:rPr>
              <w:rFonts w:hint="eastAsia" w:asciiTheme="minorEastAsia" w:hAnsiTheme="minorEastAsia" w:eastAsiaTheme="minorEastAsia" w:cstheme="minorEastAsia"/>
              <w:sz w:val="21"/>
              <w:szCs w:val="21"/>
            </w:rPr>
            <w:fldChar w:fldCharType="end"/>
          </w:r>
        </w:p>
        <w:p w14:paraId="2759B930">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随访评估</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9</w:t>
          </w:r>
          <w:r>
            <w:rPr>
              <w:rFonts w:hint="eastAsia" w:asciiTheme="minorEastAsia" w:hAnsiTheme="minorEastAsia" w:eastAsiaTheme="minorEastAsia" w:cstheme="minorEastAsia"/>
              <w:sz w:val="21"/>
              <w:szCs w:val="21"/>
            </w:rPr>
            <w:fldChar w:fldCharType="end"/>
          </w:r>
        </w:p>
        <w:p w14:paraId="38223663">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多学科协作</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11</w:t>
          </w:r>
          <w:r>
            <w:rPr>
              <w:rFonts w:hint="eastAsia" w:asciiTheme="minorEastAsia" w:hAnsiTheme="minorEastAsia" w:eastAsiaTheme="minorEastAsia" w:cstheme="minorEastAsia"/>
              <w:sz w:val="21"/>
              <w:szCs w:val="21"/>
            </w:rPr>
            <w:fldChar w:fldCharType="end"/>
          </w:r>
        </w:p>
        <w:p w14:paraId="138D468A">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数据管理与质量控制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11</w:t>
          </w:r>
          <w:r>
            <w:rPr>
              <w:rFonts w:hint="eastAsia" w:asciiTheme="minorEastAsia" w:hAnsiTheme="minorEastAsia" w:eastAsiaTheme="minorEastAsia" w:cstheme="minorEastAsia"/>
              <w:sz w:val="21"/>
              <w:szCs w:val="21"/>
            </w:rPr>
            <w:fldChar w:fldCharType="end"/>
          </w:r>
        </w:p>
        <w:p w14:paraId="2DD7D60E">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数据采集</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11</w:t>
          </w:r>
          <w:r>
            <w:rPr>
              <w:rFonts w:hint="eastAsia" w:asciiTheme="minorEastAsia" w:hAnsiTheme="minorEastAsia" w:eastAsiaTheme="minorEastAsia" w:cstheme="minorEastAsia"/>
              <w:sz w:val="21"/>
              <w:szCs w:val="21"/>
            </w:rPr>
            <w:fldChar w:fldCharType="end"/>
          </w:r>
        </w:p>
        <w:p w14:paraId="4C3B9A39">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质量控制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11</w:t>
          </w:r>
          <w:r>
            <w:rPr>
              <w:rFonts w:hint="eastAsia" w:asciiTheme="minorEastAsia" w:hAnsiTheme="minorEastAsia" w:eastAsiaTheme="minorEastAsia" w:cstheme="minorEastAsia"/>
              <w:sz w:val="21"/>
              <w:szCs w:val="21"/>
            </w:rPr>
            <w:fldChar w:fldCharType="end"/>
          </w:r>
        </w:p>
        <w:p w14:paraId="25984CF5">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8.3.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数据保存</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11</w:t>
          </w:r>
          <w:r>
            <w:rPr>
              <w:rFonts w:hint="eastAsia" w:asciiTheme="minorEastAsia" w:hAnsiTheme="minorEastAsia" w:eastAsiaTheme="minorEastAsia" w:cstheme="minorEastAsia"/>
              <w:sz w:val="21"/>
              <w:szCs w:val="21"/>
            </w:rPr>
            <w:fldChar w:fldCharType="end"/>
          </w:r>
        </w:p>
        <w:p w14:paraId="5ECD1B15">
          <w:pPr>
            <w:pStyle w:val="8"/>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9.</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记录与报告</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_Toc215049749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11</w:t>
          </w:r>
          <w:r>
            <w:rPr>
              <w:rFonts w:hint="eastAsia" w:asciiTheme="minorEastAsia" w:hAnsiTheme="minorEastAsia" w:eastAsiaTheme="minorEastAsia" w:cstheme="minorEastAsia"/>
              <w:sz w:val="21"/>
              <w:szCs w:val="21"/>
            </w:rPr>
            <w:fldChar w:fldCharType="end"/>
          </w:r>
        </w:p>
        <w:p w14:paraId="7D94EACA">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9.1.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记录要求</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_Toc215049750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rPr>
            <w:fldChar w:fldCharType="end"/>
          </w:r>
        </w:p>
        <w:p w14:paraId="55003261">
          <w:pPr>
            <w:pStyle w:val="8"/>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9.2.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评估报告</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_Toc215049751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rPr>
            <w:fldChar w:fldCharType="end"/>
          </w:r>
        </w:p>
        <w:p w14:paraId="460E42C0">
          <w:pPr>
            <w:keepNext w:val="0"/>
            <w:keepLines w:val="0"/>
            <w:pageBreakBefore w:val="0"/>
            <w:widowControl/>
            <w:tabs>
              <w:tab w:val="right" w:leader="dot" w:pos="8363"/>
            </w:tabs>
            <w:kinsoku w:val="0"/>
            <w:wordWrap/>
            <w:overflowPunct/>
            <w:topLinePunct w:val="0"/>
            <w:autoSpaceDE w:val="0"/>
            <w:autoSpaceDN w:val="0"/>
            <w:bidi w:val="0"/>
            <w:adjustRightInd w:val="0"/>
            <w:snapToGrid w:val="0"/>
            <w:spacing w:before="65" w:line="276" w:lineRule="auto"/>
            <w:ind w:left="8" w:hanging="1"/>
            <w:textAlignment w:val="baseline"/>
            <w:rPr>
              <w:lang w:eastAsia="zh-CN"/>
            </w:rPr>
          </w:pPr>
          <w:r>
            <w:rPr>
              <w:rFonts w:hint="eastAsia" w:asciiTheme="minorEastAsia" w:hAnsiTheme="minorEastAsia" w:eastAsiaTheme="minorEastAsia" w:cstheme="minorEastAsia"/>
              <w:sz w:val="21"/>
              <w:szCs w:val="21"/>
            </w:rPr>
            <w:fldChar w:fldCharType="end"/>
          </w:r>
        </w:p>
        <w:p w14:paraId="2C23ACD9">
          <w:pPr>
            <w:tabs>
              <w:tab w:val="right" w:leader="dot" w:pos="9350"/>
            </w:tabs>
            <w:spacing w:before="191" w:line="228" w:lineRule="auto"/>
            <w:ind w:left="7"/>
            <w:rPr>
              <w:rFonts w:hint="eastAsia" w:ascii="宋体" w:hAnsi="宋体" w:eastAsia="宋体" w:cs="宋体"/>
              <w:sz w:val="20"/>
              <w:szCs w:val="20"/>
              <w:lang w:eastAsia="zh-CN"/>
            </w:rPr>
            <w:sectPr>
              <w:headerReference r:id="rId6" w:type="first"/>
              <w:footerReference r:id="rId8" w:type="first"/>
              <w:footerReference r:id="rId7" w:type="default"/>
              <w:pgSz w:w="11906" w:h="16839"/>
              <w:pgMar w:top="1440" w:right="1803" w:bottom="1440" w:left="1803" w:header="850" w:footer="1106" w:gutter="0"/>
              <w:cols w:space="720" w:num="1"/>
              <w:titlePg/>
              <w:docGrid w:linePitch="286" w:charSpace="0"/>
            </w:sectPr>
          </w:pPr>
        </w:p>
      </w:sdtContent>
    </w:sdt>
    <w:p w14:paraId="6FAAC64A">
      <w:pPr>
        <w:pStyle w:val="5"/>
        <w:spacing w:before="101" w:line="228" w:lineRule="auto"/>
        <w:ind w:left="4253"/>
        <w:outlineLvl w:val="0"/>
        <w:rPr>
          <w:rFonts w:hint="eastAsia"/>
          <w:spacing w:val="-2"/>
          <w:sz w:val="31"/>
          <w:szCs w:val="31"/>
          <w:lang w:eastAsia="zh-CN"/>
        </w:rPr>
      </w:pPr>
      <w:bookmarkStart w:id="7" w:name="bookmark1"/>
      <w:bookmarkEnd w:id="7"/>
      <w:bookmarkStart w:id="8" w:name="bookmark2"/>
      <w:bookmarkEnd w:id="8"/>
    </w:p>
    <w:p w14:paraId="0585ED56">
      <w:pPr>
        <w:pStyle w:val="5"/>
        <w:spacing w:before="101" w:line="228" w:lineRule="auto"/>
        <w:ind w:left="4253"/>
        <w:outlineLvl w:val="0"/>
        <w:rPr>
          <w:rFonts w:hint="eastAsia"/>
          <w:sz w:val="31"/>
          <w:szCs w:val="31"/>
          <w:lang w:eastAsia="zh-CN"/>
        </w:rPr>
      </w:pPr>
      <w:bookmarkStart w:id="9" w:name="_Toc215049712"/>
      <w:r>
        <w:rPr>
          <w:spacing w:val="-2"/>
          <w:sz w:val="31"/>
          <w:szCs w:val="31"/>
          <w:lang w:eastAsia="zh-CN"/>
        </w:rPr>
        <w:t>前</w:t>
      </w:r>
      <w:r>
        <w:rPr>
          <w:spacing w:val="11"/>
          <w:sz w:val="31"/>
          <w:szCs w:val="31"/>
          <w:lang w:eastAsia="zh-CN"/>
        </w:rPr>
        <w:t xml:space="preserve">    </w:t>
      </w:r>
      <w:r>
        <w:rPr>
          <w:spacing w:val="-2"/>
          <w:sz w:val="31"/>
          <w:szCs w:val="31"/>
          <w:lang w:eastAsia="zh-CN"/>
        </w:rPr>
        <w:t>言</w:t>
      </w:r>
      <w:bookmarkEnd w:id="9"/>
    </w:p>
    <w:p w14:paraId="7DEEB7CF">
      <w:pPr>
        <w:spacing w:line="360" w:lineRule="auto"/>
        <w:rPr>
          <w:lang w:eastAsia="zh-CN"/>
        </w:rPr>
      </w:pPr>
    </w:p>
    <w:p w14:paraId="4A0E698C">
      <w:pPr>
        <w:spacing w:line="360" w:lineRule="auto"/>
        <w:ind w:firstLine="420"/>
        <w:rPr>
          <w:rFonts w:hint="eastAsia" w:ascii="宋体" w:hAnsi="宋体" w:eastAsia="宋体" w:cs="宋体"/>
          <w:spacing w:val="9"/>
          <w:sz w:val="20"/>
          <w:szCs w:val="20"/>
          <w:lang w:eastAsia="zh-CN"/>
        </w:rPr>
      </w:pPr>
      <w:r>
        <w:rPr>
          <w:rFonts w:hint="eastAsia" w:ascii="宋体" w:hAnsi="宋体" w:eastAsia="宋体" w:cs="宋体"/>
          <w:spacing w:val="9"/>
          <w:sz w:val="20"/>
          <w:szCs w:val="20"/>
          <w:lang w:eastAsia="zh-CN"/>
        </w:rPr>
        <w:t>本文件按照</w:t>
      </w:r>
      <w:r>
        <w:rPr>
          <w:rFonts w:ascii="宋体" w:hAnsi="宋体" w:eastAsia="宋体" w:cs="宋体"/>
          <w:spacing w:val="9"/>
          <w:sz w:val="20"/>
          <w:szCs w:val="20"/>
          <w:lang w:eastAsia="zh-CN"/>
        </w:rPr>
        <w:t xml:space="preserve">GB/T 1.1—2020 </w:t>
      </w:r>
      <w:r>
        <w:rPr>
          <w:rFonts w:hint="eastAsia" w:ascii="宋体" w:hAnsi="宋体" w:eastAsia="宋体" w:cs="宋体"/>
          <w:spacing w:val="9"/>
          <w:sz w:val="20"/>
          <w:szCs w:val="20"/>
          <w:lang w:eastAsia="zh-CN"/>
        </w:rPr>
        <w:t>《标准化工作导则</w:t>
      </w:r>
      <w:r>
        <w:rPr>
          <w:rFonts w:ascii="宋体" w:hAnsi="宋体" w:eastAsia="宋体" w:cs="宋体"/>
          <w:spacing w:val="9"/>
          <w:sz w:val="20"/>
          <w:szCs w:val="20"/>
          <w:lang w:eastAsia="zh-CN"/>
        </w:rPr>
        <w:t xml:space="preserve"> </w:t>
      </w:r>
      <w:r>
        <w:rPr>
          <w:rFonts w:hint="eastAsia" w:ascii="宋体" w:hAnsi="宋体" w:eastAsia="宋体" w:cs="宋体"/>
          <w:spacing w:val="9"/>
          <w:sz w:val="20"/>
          <w:szCs w:val="20"/>
          <w:lang w:eastAsia="zh-CN"/>
        </w:rPr>
        <w:t>第</w:t>
      </w:r>
      <w:r>
        <w:rPr>
          <w:rFonts w:ascii="宋体" w:hAnsi="宋体" w:eastAsia="宋体" w:cs="宋体"/>
          <w:spacing w:val="9"/>
          <w:sz w:val="20"/>
          <w:szCs w:val="20"/>
          <w:lang w:eastAsia="zh-CN"/>
        </w:rPr>
        <w:t>1</w:t>
      </w:r>
      <w:r>
        <w:rPr>
          <w:rFonts w:hint="eastAsia" w:ascii="宋体" w:hAnsi="宋体" w:eastAsia="宋体" w:cs="宋体"/>
          <w:spacing w:val="9"/>
          <w:sz w:val="20"/>
          <w:szCs w:val="20"/>
          <w:lang w:eastAsia="zh-CN"/>
        </w:rPr>
        <w:t>部分：标准化文件的结构和起草规则》的规定起草。</w:t>
      </w:r>
    </w:p>
    <w:p w14:paraId="25F408B0">
      <w:pPr>
        <w:spacing w:line="360" w:lineRule="auto"/>
        <w:ind w:firstLine="420"/>
        <w:rPr>
          <w:rFonts w:hint="eastAsia" w:ascii="宋体" w:hAnsi="宋体" w:eastAsia="宋体" w:cs="宋体"/>
          <w:spacing w:val="9"/>
          <w:sz w:val="20"/>
          <w:szCs w:val="20"/>
          <w:lang w:eastAsia="zh-CN"/>
        </w:rPr>
      </w:pPr>
      <w:r>
        <w:rPr>
          <w:rFonts w:hint="eastAsia" w:ascii="宋体" w:hAnsi="宋体" w:eastAsia="宋体" w:cs="宋体"/>
          <w:spacing w:val="9"/>
          <w:sz w:val="20"/>
          <w:szCs w:val="20"/>
          <w:lang w:eastAsia="zh-CN"/>
        </w:rPr>
        <w:t>请注意本文件的某些内容可能涉及专利。本文件的发布机构不承担识别这些专利的责任。</w:t>
      </w:r>
    </w:p>
    <w:p w14:paraId="1DFDFFD6">
      <w:pPr>
        <w:spacing w:line="360" w:lineRule="auto"/>
        <w:ind w:firstLine="420"/>
        <w:rPr>
          <w:rFonts w:hint="eastAsia" w:cs="Times New Roman" w:asciiTheme="minorEastAsia" w:hAnsiTheme="minorEastAsia" w:eastAsiaTheme="minorEastAsia"/>
          <w:snapToGrid/>
          <w:color w:val="auto"/>
          <w:sz w:val="21"/>
          <w:szCs w:val="20"/>
          <w:lang w:val="en-US" w:eastAsia="zh-CN" w:bidi="ar-SA"/>
        </w:rPr>
      </w:pPr>
      <w:r>
        <w:rPr>
          <w:rFonts w:hint="eastAsia" w:cs="Times New Roman" w:asciiTheme="minorEastAsia" w:hAnsiTheme="minorEastAsia" w:eastAsiaTheme="minorEastAsia"/>
          <w:snapToGrid/>
          <w:color w:val="auto"/>
          <w:sz w:val="21"/>
          <w:szCs w:val="20"/>
          <w:lang w:val="en-US" w:eastAsia="zh-CN" w:bidi="ar-SA"/>
        </w:rPr>
        <w:t>本文件由上海交通大学医学院附属第九人民医院提出。</w:t>
      </w:r>
    </w:p>
    <w:p w14:paraId="296A2D55">
      <w:pPr>
        <w:pStyle w:val="39"/>
        <w:spacing w:line="360" w:lineRule="auto"/>
        <w:ind w:firstLine="420"/>
        <w:rPr>
          <w:rFonts w:hint="eastAsia" w:asciiTheme="minorEastAsia" w:hAnsiTheme="minorEastAsia"/>
        </w:rPr>
      </w:pPr>
      <w:r>
        <w:rPr>
          <w:rFonts w:hint="eastAsia" w:asciiTheme="minorEastAsia" w:hAnsiTheme="minorEastAsia" w:eastAsiaTheme="minorEastAsia"/>
        </w:rPr>
        <w:t>本标准由中国食品药品企业质量安全促进会提出并归口。</w:t>
      </w:r>
    </w:p>
    <w:p w14:paraId="752C9CA6">
      <w:pPr>
        <w:spacing w:line="360" w:lineRule="auto"/>
        <w:ind w:firstLine="420"/>
        <w:rPr>
          <w:rFonts w:hint="eastAsia" w:ascii="宋体" w:hAnsi="宋体" w:eastAsia="宋体" w:cs="宋体"/>
          <w:spacing w:val="9"/>
          <w:sz w:val="20"/>
          <w:szCs w:val="20"/>
          <w:lang w:eastAsia="zh-CN"/>
        </w:rPr>
      </w:pPr>
      <w:r>
        <w:rPr>
          <w:rFonts w:hint="eastAsia" w:ascii="宋体" w:hAnsi="宋体" w:eastAsia="宋体" w:cs="宋体"/>
          <w:spacing w:val="9"/>
          <w:sz w:val="20"/>
          <w:szCs w:val="20"/>
          <w:lang w:eastAsia="zh-CN"/>
        </w:rPr>
        <w:t>本文件主要起草单位：。</w:t>
      </w:r>
    </w:p>
    <w:p w14:paraId="4B8270A2">
      <w:pPr>
        <w:spacing w:line="360" w:lineRule="auto"/>
        <w:ind w:firstLine="420"/>
        <w:rPr>
          <w:rFonts w:hint="eastAsia" w:ascii="宋体" w:hAnsi="宋体" w:eastAsia="宋体" w:cs="宋体"/>
          <w:spacing w:val="9"/>
          <w:sz w:val="20"/>
          <w:szCs w:val="20"/>
          <w:lang w:eastAsia="zh-CN"/>
        </w:rPr>
      </w:pPr>
      <w:r>
        <w:rPr>
          <w:rFonts w:hint="eastAsia" w:ascii="宋体" w:hAnsi="宋体" w:eastAsia="宋体" w:cs="宋体"/>
          <w:spacing w:val="9"/>
          <w:sz w:val="20"/>
          <w:szCs w:val="20"/>
          <w:lang w:eastAsia="zh-CN"/>
        </w:rPr>
        <w:t>参与起草单位：。</w:t>
      </w:r>
    </w:p>
    <w:p w14:paraId="6627D915">
      <w:pPr>
        <w:spacing w:line="360" w:lineRule="auto"/>
        <w:ind w:firstLine="420"/>
        <w:rPr>
          <w:rFonts w:hint="eastAsia" w:ascii="宋体" w:hAnsi="宋体" w:eastAsia="宋体" w:cs="宋体"/>
          <w:sz w:val="20"/>
          <w:szCs w:val="20"/>
          <w:lang w:eastAsia="zh-CN"/>
        </w:rPr>
        <w:sectPr>
          <w:footerReference r:id="rId9" w:type="default"/>
          <w:pgSz w:w="11906" w:h="16839"/>
          <w:pgMar w:top="1431" w:right="1063" w:bottom="1560" w:left="1423" w:header="850" w:footer="1134" w:gutter="0"/>
          <w:cols w:space="720" w:num="1"/>
          <w:docGrid w:linePitch="286" w:charSpace="0"/>
        </w:sectPr>
      </w:pPr>
      <w:r>
        <w:rPr>
          <w:rFonts w:hint="eastAsia" w:ascii="宋体" w:hAnsi="宋体" w:eastAsia="宋体" w:cs="宋体"/>
          <w:spacing w:val="9"/>
          <w:sz w:val="20"/>
          <w:szCs w:val="20"/>
          <w:lang w:eastAsia="zh-CN"/>
        </w:rPr>
        <w:t>本文件主要起草人：。</w:t>
      </w:r>
    </w:p>
    <w:p w14:paraId="21BFD97E">
      <w:pPr>
        <w:spacing w:line="465" w:lineRule="auto"/>
        <w:jc w:val="center"/>
        <w:rPr>
          <w:lang w:eastAsia="zh-CN"/>
        </w:rPr>
      </w:pPr>
      <w:r>
        <w:rPr>
          <w:rFonts w:hint="eastAsia" w:ascii="黑体" w:hAnsi="黑体" w:eastAsia="黑体" w:cs="黑体"/>
          <w:spacing w:val="9"/>
          <w:sz w:val="31"/>
          <w:szCs w:val="31"/>
          <w:lang w:eastAsia="zh-CN"/>
        </w:rPr>
        <w:t>组织工程产品</w:t>
      </w:r>
      <w:r>
        <w:rPr>
          <w:rFonts w:ascii="黑体" w:hAnsi="黑体" w:eastAsia="黑体" w:cs="黑体"/>
          <w:spacing w:val="9"/>
          <w:sz w:val="31"/>
          <w:szCs w:val="31"/>
          <w:lang w:eastAsia="zh-CN"/>
        </w:rPr>
        <w:t xml:space="preserve"> </w:t>
      </w:r>
      <w:r>
        <w:rPr>
          <w:rFonts w:hint="eastAsia" w:ascii="黑体" w:hAnsi="黑体" w:eastAsia="黑体" w:cs="黑体"/>
          <w:spacing w:val="9"/>
          <w:sz w:val="31"/>
          <w:szCs w:val="31"/>
          <w:lang w:eastAsia="zh-CN"/>
        </w:rPr>
        <w:t>面部硬组织畸形用组织工程软骨人体移植后评估要求</w:t>
      </w:r>
    </w:p>
    <w:p w14:paraId="5807689A">
      <w:pPr>
        <w:pStyle w:val="5"/>
        <w:numPr>
          <w:ilvl w:val="0"/>
          <w:numId w:val="1"/>
        </w:numPr>
        <w:spacing w:before="265" w:line="230" w:lineRule="auto"/>
        <w:outlineLvl w:val="0"/>
        <w:rPr>
          <w:rFonts w:hint="eastAsia"/>
          <w:sz w:val="20"/>
          <w:szCs w:val="20"/>
          <w:lang w:eastAsia="zh-CN"/>
        </w:rPr>
      </w:pPr>
      <w:bookmarkStart w:id="10" w:name="bookmark3"/>
      <w:bookmarkEnd w:id="10"/>
      <w:bookmarkStart w:id="11" w:name="_Toc215049713"/>
      <w:r>
        <w:rPr>
          <w:spacing w:val="7"/>
          <w:sz w:val="20"/>
          <w:szCs w:val="20"/>
          <w:lang w:eastAsia="zh-CN"/>
        </w:rPr>
        <w:t>范围</w:t>
      </w:r>
      <w:bookmarkEnd w:id="11"/>
    </w:p>
    <w:p w14:paraId="49E534BB">
      <w:pPr>
        <w:spacing w:before="260" w:line="360" w:lineRule="auto"/>
        <w:ind w:left="8" w:firstLine="418"/>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本文件规定了面部畸形矫治用组织工程软骨人体移植后的临床评估要求，包括评估方法、评估指标与判定标准、评估实施要求及数据管理等内容。</w:t>
      </w:r>
    </w:p>
    <w:p w14:paraId="6A9FE0A0">
      <w:pPr>
        <w:spacing w:before="260" w:line="360" w:lineRule="auto"/>
        <w:ind w:left="8" w:firstLine="418"/>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本文件适用于医疗机构对已植入的组织工程软骨进行的临床评估活动。本文件不适用于非细胞型软骨修复材料（如脱细胞基质）及非面部区域的软骨移植评估。</w:t>
      </w:r>
    </w:p>
    <w:p w14:paraId="23856A64">
      <w:pPr>
        <w:pStyle w:val="5"/>
        <w:numPr>
          <w:ilvl w:val="0"/>
          <w:numId w:val="1"/>
        </w:numPr>
        <w:spacing w:before="265" w:line="360" w:lineRule="auto"/>
        <w:outlineLvl w:val="0"/>
        <w:rPr>
          <w:rFonts w:hint="eastAsia"/>
          <w:spacing w:val="7"/>
          <w:sz w:val="20"/>
          <w:szCs w:val="20"/>
          <w:lang w:eastAsia="zh-CN"/>
        </w:rPr>
      </w:pPr>
      <w:bookmarkStart w:id="12" w:name="_Toc215049714"/>
      <w:r>
        <w:rPr>
          <w:spacing w:val="7"/>
          <w:sz w:val="20"/>
          <w:szCs w:val="20"/>
          <w:lang w:eastAsia="zh-CN"/>
        </w:rPr>
        <w:t>规范性引用文件</w:t>
      </w:r>
      <w:bookmarkEnd w:id="12"/>
    </w:p>
    <w:p w14:paraId="504F4AFB">
      <w:pPr>
        <w:spacing w:before="263" w:line="360" w:lineRule="auto"/>
        <w:ind w:left="3" w:right="4" w:firstLine="428"/>
        <w:jc w:val="both"/>
        <w:rPr>
          <w:rFonts w:hint="eastAsia" w:ascii="宋体" w:hAnsi="宋体" w:eastAsia="宋体" w:cs="宋体"/>
          <w:sz w:val="21"/>
          <w:szCs w:val="21"/>
          <w:lang w:eastAsia="zh-CN"/>
        </w:rPr>
      </w:pPr>
      <w:r>
        <w:rPr>
          <w:rFonts w:ascii="宋体" w:hAnsi="宋体" w:eastAsia="宋体" w:cs="宋体"/>
          <w:spacing w:val="4"/>
          <w:sz w:val="21"/>
          <w:szCs w:val="21"/>
          <w:lang w:eastAsia="zh-CN"/>
        </w:rPr>
        <w:t>下列文件中的内容通过文中的规范性引用而构成本文件必不可少的条款。其中，注日期的引用文</w:t>
      </w:r>
      <w:r>
        <w:rPr>
          <w:rFonts w:ascii="宋体" w:hAnsi="宋体" w:eastAsia="宋体" w:cs="宋体"/>
          <w:spacing w:val="3"/>
          <w:sz w:val="21"/>
          <w:szCs w:val="21"/>
          <w:lang w:eastAsia="zh-CN"/>
        </w:rPr>
        <w:t>件，</w:t>
      </w:r>
      <w:r>
        <w:rPr>
          <w:rFonts w:ascii="宋体" w:hAnsi="宋体" w:eastAsia="宋体" w:cs="宋体"/>
          <w:spacing w:val="8"/>
          <w:sz w:val="21"/>
          <w:szCs w:val="21"/>
          <w:lang w:eastAsia="zh-CN"/>
        </w:rPr>
        <w:t>仅该日期对应的版本适用于本文件；不注日期的引用文件，其最新版</w:t>
      </w:r>
      <w:r>
        <w:rPr>
          <w:rFonts w:ascii="宋体" w:hAnsi="宋体" w:eastAsia="宋体" w:cs="宋体"/>
          <w:spacing w:val="7"/>
          <w:sz w:val="21"/>
          <w:szCs w:val="21"/>
          <w:lang w:eastAsia="zh-CN"/>
        </w:rPr>
        <w:t>本（包括所有的修改单）适用于本</w:t>
      </w:r>
      <w:r>
        <w:rPr>
          <w:rFonts w:ascii="宋体" w:hAnsi="宋体" w:eastAsia="宋体" w:cs="宋体"/>
          <w:spacing w:val="3"/>
          <w:sz w:val="21"/>
          <w:szCs w:val="21"/>
          <w:lang w:eastAsia="zh-CN"/>
        </w:rPr>
        <w:t>文件。</w:t>
      </w:r>
    </w:p>
    <w:p w14:paraId="00AED5ED">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 xml:space="preserve">GB/T 16886.1—2022 </w:t>
      </w:r>
      <w:r>
        <w:rPr>
          <w:rFonts w:hint="eastAsia" w:ascii="宋体" w:hAnsi="宋体" w:eastAsia="宋体" w:cs="宋体"/>
          <w:spacing w:val="4"/>
          <w:sz w:val="21"/>
          <w:szCs w:val="21"/>
          <w:lang w:eastAsia="zh-CN"/>
        </w:rPr>
        <w:t>医疗器械生物学评价</w:t>
      </w:r>
      <w:r>
        <w:rPr>
          <w:rFonts w:ascii="宋体" w:hAnsi="宋体" w:eastAsia="宋体" w:cs="宋体"/>
          <w:spacing w:val="4"/>
          <w:sz w:val="21"/>
          <w:szCs w:val="21"/>
          <w:lang w:eastAsia="zh-CN"/>
        </w:rPr>
        <w:t xml:space="preserve"> </w:t>
      </w:r>
      <w:r>
        <w:rPr>
          <w:rFonts w:hint="eastAsia" w:ascii="宋体" w:hAnsi="宋体" w:eastAsia="宋体" w:cs="宋体"/>
          <w:spacing w:val="4"/>
          <w:sz w:val="21"/>
          <w:szCs w:val="21"/>
          <w:lang w:eastAsia="zh-CN"/>
        </w:rPr>
        <w:t>第</w:t>
      </w:r>
      <w:r>
        <w:rPr>
          <w:rFonts w:ascii="宋体" w:hAnsi="宋体" w:eastAsia="宋体" w:cs="宋体"/>
          <w:spacing w:val="4"/>
          <w:sz w:val="21"/>
          <w:szCs w:val="21"/>
          <w:lang w:eastAsia="zh-CN"/>
        </w:rPr>
        <w:t>1</w:t>
      </w:r>
      <w:r>
        <w:rPr>
          <w:rFonts w:hint="eastAsia" w:ascii="宋体" w:hAnsi="宋体" w:eastAsia="宋体" w:cs="宋体"/>
          <w:spacing w:val="4"/>
          <w:sz w:val="21"/>
          <w:szCs w:val="21"/>
          <w:lang w:eastAsia="zh-CN"/>
        </w:rPr>
        <w:t>部分：风险管理过程中的评价与试验</w:t>
      </w:r>
    </w:p>
    <w:p w14:paraId="3E7F34DA">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 xml:space="preserve">GB/T42062-2022 </w:t>
      </w:r>
      <w:r>
        <w:rPr>
          <w:rFonts w:hint="eastAsia" w:ascii="宋体" w:hAnsi="宋体" w:eastAsia="宋体" w:cs="宋体"/>
          <w:spacing w:val="4"/>
          <w:sz w:val="21"/>
          <w:szCs w:val="21"/>
          <w:lang w:eastAsia="zh-CN"/>
        </w:rPr>
        <w:t>医疗器械</w:t>
      </w:r>
      <w:r>
        <w:rPr>
          <w:rFonts w:ascii="宋体" w:hAnsi="宋体" w:eastAsia="宋体" w:cs="宋体"/>
          <w:spacing w:val="4"/>
          <w:sz w:val="21"/>
          <w:szCs w:val="21"/>
          <w:lang w:eastAsia="zh-CN"/>
        </w:rPr>
        <w:t xml:space="preserve"> </w:t>
      </w:r>
      <w:r>
        <w:rPr>
          <w:rFonts w:hint="eastAsia" w:ascii="宋体" w:hAnsi="宋体" w:eastAsia="宋体" w:cs="宋体"/>
          <w:spacing w:val="4"/>
          <w:sz w:val="21"/>
          <w:szCs w:val="21"/>
          <w:lang w:eastAsia="zh-CN"/>
        </w:rPr>
        <w:t>风险管理对医疗器械的应用</w:t>
      </w:r>
    </w:p>
    <w:p w14:paraId="4338A2C7">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ab/>
      </w:r>
      <w:r>
        <w:rPr>
          <w:rFonts w:ascii="宋体" w:hAnsi="宋体" w:eastAsia="宋体" w:cs="宋体"/>
          <w:spacing w:val="4"/>
          <w:sz w:val="21"/>
          <w:szCs w:val="21"/>
          <w:lang w:eastAsia="zh-CN"/>
        </w:rPr>
        <w:t>ISO 21537:2018 Tissue-engineered medical products — Requirements for human cell-based tissue-engineered medical products</w:t>
      </w:r>
    </w:p>
    <w:p w14:paraId="6CF1B55C">
      <w:pPr>
        <w:shd w:val="clear" w:color="auto" w:fill="FFFFFF"/>
        <w:spacing w:line="360" w:lineRule="auto"/>
        <w:ind w:firstLine="436" w:firstLineChars="200"/>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《医疗器械临床试验质量管理规范》的公告（2022年第28号）</w:t>
      </w:r>
    </w:p>
    <w:p w14:paraId="1A64962D">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ab/>
      </w:r>
      <w:r>
        <w:rPr>
          <w:rFonts w:ascii="宋体" w:hAnsi="宋体" w:eastAsia="宋体" w:cs="宋体"/>
          <w:spacing w:val="4"/>
          <w:sz w:val="21"/>
          <w:szCs w:val="21"/>
          <w:lang w:eastAsia="zh-CN"/>
        </w:rPr>
        <w:t xml:space="preserve">ICH E6(R2) </w:t>
      </w:r>
      <w:r>
        <w:rPr>
          <w:rFonts w:hint="eastAsia" w:ascii="宋体" w:hAnsi="宋体" w:eastAsia="宋体" w:cs="宋体"/>
          <w:spacing w:val="4"/>
          <w:sz w:val="21"/>
          <w:szCs w:val="21"/>
          <w:lang w:eastAsia="zh-CN"/>
        </w:rPr>
        <w:t>临床试验质量管理规范</w:t>
      </w:r>
    </w:p>
    <w:p w14:paraId="57325600">
      <w:pPr>
        <w:pStyle w:val="5"/>
        <w:numPr>
          <w:ilvl w:val="0"/>
          <w:numId w:val="1"/>
        </w:numPr>
        <w:spacing w:before="265" w:line="360" w:lineRule="auto"/>
        <w:outlineLvl w:val="0"/>
        <w:rPr>
          <w:rFonts w:hint="eastAsia"/>
          <w:spacing w:val="7"/>
          <w:sz w:val="20"/>
          <w:szCs w:val="20"/>
          <w:lang w:eastAsia="zh-CN"/>
        </w:rPr>
      </w:pPr>
      <w:bookmarkStart w:id="13" w:name="bookmark8"/>
      <w:bookmarkEnd w:id="13"/>
      <w:bookmarkStart w:id="14" w:name="bookmark7"/>
      <w:bookmarkEnd w:id="14"/>
      <w:bookmarkStart w:id="15" w:name="_Toc215049715"/>
      <w:r>
        <w:rPr>
          <w:spacing w:val="7"/>
          <w:sz w:val="20"/>
          <w:szCs w:val="20"/>
          <w:lang w:eastAsia="zh-CN"/>
        </w:rPr>
        <w:t>术语和定义</w:t>
      </w:r>
      <w:bookmarkEnd w:id="15"/>
    </w:p>
    <w:p w14:paraId="411A148B">
      <w:pPr>
        <w:pStyle w:val="5"/>
        <w:spacing w:before="263" w:line="360" w:lineRule="auto"/>
        <w:ind w:left="5" w:right="766" w:firstLine="426"/>
        <w:rPr>
          <w:rFonts w:hint="eastAsia" w:ascii="宋体" w:hAnsi="宋体" w:eastAsia="宋体" w:cs="宋体"/>
          <w:spacing w:val="6"/>
          <w:sz w:val="21"/>
          <w:szCs w:val="21"/>
          <w:lang w:eastAsia="zh-CN"/>
        </w:rPr>
      </w:pPr>
      <w:r>
        <w:rPr>
          <w:rFonts w:ascii="宋体" w:hAnsi="宋体" w:eastAsia="宋体" w:cs="宋体"/>
          <w:spacing w:val="6"/>
          <w:sz w:val="21"/>
          <w:szCs w:val="21"/>
          <w:lang w:eastAsia="zh-CN"/>
        </w:rPr>
        <w:t>下列术语和定义适用于本文件。</w:t>
      </w:r>
    </w:p>
    <w:p w14:paraId="3F39CC7E">
      <w:pPr>
        <w:pStyle w:val="5"/>
        <w:spacing w:before="263" w:line="360" w:lineRule="auto"/>
        <w:ind w:right="766"/>
        <w:rPr>
          <w:rFonts w:hint="eastAsia"/>
          <w:spacing w:val="16"/>
          <w:sz w:val="20"/>
          <w:szCs w:val="20"/>
          <w:lang w:eastAsia="zh-CN"/>
        </w:rPr>
      </w:pPr>
      <w:r>
        <w:rPr>
          <w:spacing w:val="2"/>
          <w:sz w:val="20"/>
          <w:szCs w:val="20"/>
          <w:lang w:eastAsia="zh-CN"/>
        </w:rPr>
        <w:t>3.1</w:t>
      </w:r>
      <w:r>
        <w:rPr>
          <w:rFonts w:hint="eastAsia"/>
          <w:spacing w:val="16"/>
          <w:sz w:val="20"/>
          <w:szCs w:val="20"/>
          <w:lang w:eastAsia="zh-CN"/>
        </w:rPr>
        <w:t>组织工程软骨</w:t>
      </w:r>
      <w:r>
        <w:rPr>
          <w:spacing w:val="16"/>
          <w:sz w:val="20"/>
          <w:szCs w:val="20"/>
          <w:lang w:eastAsia="zh-CN"/>
        </w:rPr>
        <w:t xml:space="preserve"> tissue-engineered cartilage</w:t>
      </w:r>
    </w:p>
    <w:p w14:paraId="2ACEDB1C">
      <w:pPr>
        <w:spacing w:before="27" w:line="360" w:lineRule="auto"/>
        <w:ind w:left="6" w:right="61" w:firstLine="420"/>
        <w:rPr>
          <w:sz w:val="21"/>
          <w:szCs w:val="21"/>
          <w:lang w:eastAsia="zh-CN"/>
        </w:rPr>
      </w:pPr>
      <w:r>
        <w:rPr>
          <w:rFonts w:hint="eastAsia"/>
          <w:sz w:val="21"/>
          <w:szCs w:val="21"/>
          <w:lang w:eastAsia="zh-CN"/>
        </w:rPr>
        <w:t>基于组织工程技术和工艺制备，由自体软骨细胞和培养支撑物组成，用于修复、改善、再生组织或器官结构与功能的植入物。</w:t>
      </w:r>
    </w:p>
    <w:p w14:paraId="70801801">
      <w:pPr>
        <w:pStyle w:val="5"/>
        <w:spacing w:before="58" w:line="360" w:lineRule="auto"/>
        <w:ind w:left="5"/>
        <w:rPr>
          <w:spacing w:val="2"/>
          <w:sz w:val="20"/>
          <w:szCs w:val="20"/>
        </w:rPr>
      </w:pPr>
    </w:p>
    <w:p w14:paraId="25946B2B">
      <w:pPr>
        <w:pStyle w:val="5"/>
        <w:spacing w:before="58" w:line="360" w:lineRule="auto"/>
        <w:ind w:left="5"/>
        <w:rPr>
          <w:rFonts w:hint="eastAsia"/>
          <w:sz w:val="20"/>
          <w:szCs w:val="20"/>
          <w:lang w:eastAsia="zh-CN"/>
        </w:rPr>
      </w:pPr>
      <w:r>
        <w:rPr>
          <w:spacing w:val="2"/>
          <w:sz w:val="20"/>
          <w:szCs w:val="20"/>
        </w:rPr>
        <w:t>3.2</w:t>
      </w:r>
      <w:r>
        <w:rPr>
          <w:rFonts w:hint="eastAsia"/>
          <w:spacing w:val="18"/>
          <w:sz w:val="20"/>
          <w:szCs w:val="20"/>
          <w:lang w:eastAsia="zh-CN"/>
        </w:rPr>
        <w:t>移植后评估</w:t>
      </w:r>
      <w:r>
        <w:rPr>
          <w:spacing w:val="18"/>
          <w:sz w:val="20"/>
          <w:szCs w:val="20"/>
          <w:lang w:eastAsia="zh-CN"/>
        </w:rPr>
        <w:t xml:space="preserve"> post-implantation evaluation</w:t>
      </w:r>
    </w:p>
    <w:p w14:paraId="49E00572">
      <w:pPr>
        <w:spacing w:before="27" w:line="360" w:lineRule="auto"/>
        <w:ind w:left="6" w:right="61" w:firstLine="420"/>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对组织工程软骨植入人体后，在规定时间点进行的安全性、形态稳定性及功能效果的系统性评价。</w:t>
      </w:r>
    </w:p>
    <w:p w14:paraId="4D5CF557">
      <w:pPr>
        <w:pStyle w:val="5"/>
        <w:spacing w:before="59" w:line="360" w:lineRule="auto"/>
        <w:ind w:left="5"/>
        <w:rPr>
          <w:spacing w:val="2"/>
          <w:sz w:val="20"/>
          <w:szCs w:val="20"/>
          <w:lang w:eastAsia="zh-CN"/>
        </w:rPr>
      </w:pPr>
    </w:p>
    <w:p w14:paraId="6DEE0896">
      <w:pPr>
        <w:pStyle w:val="5"/>
        <w:spacing w:before="59" w:line="360" w:lineRule="auto"/>
        <w:ind w:left="5"/>
        <w:rPr>
          <w:rFonts w:hint="eastAsia"/>
          <w:spacing w:val="16"/>
          <w:sz w:val="20"/>
          <w:szCs w:val="20"/>
          <w:lang w:eastAsia="zh-CN"/>
        </w:rPr>
      </w:pPr>
      <w:r>
        <w:rPr>
          <w:spacing w:val="2"/>
          <w:sz w:val="20"/>
          <w:szCs w:val="20"/>
          <w:lang w:eastAsia="zh-CN"/>
        </w:rPr>
        <w:t>3.3</w:t>
      </w:r>
      <w:r>
        <w:rPr>
          <w:rFonts w:hint="eastAsia"/>
          <w:spacing w:val="16"/>
          <w:sz w:val="20"/>
          <w:szCs w:val="20"/>
          <w:lang w:eastAsia="zh-CN"/>
        </w:rPr>
        <w:t>体积保持率</w:t>
      </w:r>
      <w:r>
        <w:rPr>
          <w:spacing w:val="16"/>
          <w:sz w:val="20"/>
          <w:szCs w:val="20"/>
          <w:lang w:eastAsia="zh-CN"/>
        </w:rPr>
        <w:t xml:space="preserve"> volume retention rate</w:t>
      </w:r>
    </w:p>
    <w:p w14:paraId="772CDDC7">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术后随访时间点</w:t>
      </w:r>
      <w:r>
        <w:rPr>
          <w:rFonts w:ascii="宋体" w:hAnsi="宋体" w:eastAsia="宋体" w:cs="宋体"/>
          <w:spacing w:val="9"/>
          <w:sz w:val="21"/>
          <w:szCs w:val="21"/>
          <w:lang w:eastAsia="zh-CN"/>
        </w:rPr>
        <w:t xml:space="preserve"> t </w:t>
      </w:r>
      <w:r>
        <w:rPr>
          <w:rFonts w:hint="eastAsia" w:ascii="宋体" w:hAnsi="宋体" w:eastAsia="宋体" w:cs="宋体"/>
          <w:spacing w:val="9"/>
          <w:sz w:val="21"/>
          <w:szCs w:val="21"/>
          <w:lang w:eastAsia="zh-CN"/>
        </w:rPr>
        <w:t>的软骨体积（</w:t>
      </w:r>
      <w:r>
        <w:rPr>
          <w:rFonts w:ascii="宋体" w:hAnsi="宋体" w:eastAsia="宋体" w:cs="宋体"/>
          <w:spacing w:val="9"/>
          <w:sz w:val="21"/>
          <w:szCs w:val="21"/>
          <w:lang w:eastAsia="zh-CN"/>
        </w:rPr>
        <w:t>Vt</w:t>
      </w:r>
      <w:r>
        <w:rPr>
          <w:rFonts w:hint="eastAsia" w:ascii="宋体" w:hAnsi="宋体" w:eastAsia="宋体" w:cs="宋体"/>
          <w:spacing w:val="9"/>
          <w:sz w:val="21"/>
          <w:szCs w:val="21"/>
          <w:lang w:eastAsia="zh-CN"/>
        </w:rPr>
        <w:t>）与术后</w:t>
      </w:r>
      <w:r>
        <w:rPr>
          <w:rFonts w:ascii="宋体" w:hAnsi="宋体" w:eastAsia="宋体" w:cs="宋体"/>
          <w:spacing w:val="9"/>
          <w:sz w:val="21"/>
          <w:szCs w:val="21"/>
          <w:lang w:eastAsia="zh-CN"/>
        </w:rPr>
        <w:t xml:space="preserve"> 3 </w:t>
      </w:r>
      <w:r>
        <w:rPr>
          <w:rFonts w:hint="eastAsia" w:ascii="宋体" w:hAnsi="宋体" w:eastAsia="宋体" w:cs="宋体"/>
          <w:spacing w:val="9"/>
          <w:sz w:val="21"/>
          <w:szCs w:val="21"/>
          <w:lang w:eastAsia="zh-CN"/>
        </w:rPr>
        <w:t>个月基线体积（</w:t>
      </w:r>
      <w:r>
        <w:rPr>
          <w:rFonts w:ascii="宋体" w:hAnsi="宋体" w:eastAsia="宋体" w:cs="宋体"/>
          <w:spacing w:val="9"/>
          <w:sz w:val="21"/>
          <w:szCs w:val="21"/>
          <w:lang w:eastAsia="zh-CN"/>
        </w:rPr>
        <w:t>V0</w:t>
      </w:r>
      <w:r>
        <w:rPr>
          <w:rFonts w:hint="eastAsia" w:ascii="宋体" w:hAnsi="宋体" w:eastAsia="宋体" w:cs="宋体"/>
          <w:spacing w:val="9"/>
          <w:sz w:val="21"/>
          <w:szCs w:val="21"/>
          <w:lang w:eastAsia="zh-CN"/>
        </w:rPr>
        <w:t>）的比值，以百分数表示。</w:t>
      </w:r>
      <w:r>
        <w:rPr>
          <w:rFonts w:ascii="宋体" w:hAnsi="宋体" w:eastAsia="宋体" w:cs="宋体"/>
          <w:spacing w:val="9"/>
          <w:sz w:val="21"/>
          <w:szCs w:val="21"/>
          <w:lang w:eastAsia="zh-CN"/>
        </w:rPr>
        <w:t>VRR(t) = (Vt / V0) × 100 %。</w:t>
      </w:r>
    </w:p>
    <w:p w14:paraId="5E560DA0">
      <w:pPr>
        <w:pStyle w:val="5"/>
        <w:spacing w:before="59" w:line="360" w:lineRule="auto"/>
        <w:ind w:left="5"/>
        <w:rPr>
          <w:rFonts w:hint="eastAsia"/>
          <w:spacing w:val="2"/>
          <w:sz w:val="20"/>
          <w:szCs w:val="20"/>
          <w:lang w:eastAsia="zh-CN"/>
        </w:rPr>
      </w:pPr>
    </w:p>
    <w:p w14:paraId="20CF6423">
      <w:pPr>
        <w:pStyle w:val="5"/>
        <w:spacing w:before="59" w:line="360" w:lineRule="auto"/>
        <w:ind w:left="5"/>
        <w:rPr>
          <w:rFonts w:hint="eastAsia"/>
          <w:spacing w:val="16"/>
          <w:sz w:val="20"/>
          <w:szCs w:val="20"/>
          <w:lang w:eastAsia="zh-CN"/>
        </w:rPr>
      </w:pPr>
      <w:r>
        <w:rPr>
          <w:rFonts w:hint="eastAsia"/>
          <w:spacing w:val="2"/>
          <w:sz w:val="20"/>
          <w:szCs w:val="20"/>
          <w:lang w:eastAsia="zh-CN"/>
        </w:rPr>
        <w:t>3.4</w:t>
      </w:r>
      <w:r>
        <w:rPr>
          <w:rFonts w:hint="eastAsia"/>
          <w:spacing w:val="16"/>
          <w:sz w:val="20"/>
          <w:szCs w:val="20"/>
          <w:lang w:eastAsia="zh-CN"/>
        </w:rPr>
        <w:t>对称性指数</w:t>
      </w:r>
      <w:r>
        <w:rPr>
          <w:spacing w:val="16"/>
          <w:sz w:val="20"/>
          <w:szCs w:val="20"/>
          <w:lang w:eastAsia="zh-CN"/>
        </w:rPr>
        <w:t xml:space="preserve"> symmetry index</w:t>
      </w:r>
    </w:p>
    <w:p w14:paraId="4F4143CB">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面部双侧关键解剖参数（如耳廓高度、鼻背长度）的比值，计算公式见附录</w:t>
      </w:r>
      <w:r>
        <w:rPr>
          <w:rFonts w:ascii="宋体" w:hAnsi="宋体" w:eastAsia="宋体" w:cs="宋体"/>
          <w:spacing w:val="9"/>
          <w:sz w:val="21"/>
          <w:szCs w:val="21"/>
          <w:lang w:eastAsia="zh-CN"/>
        </w:rPr>
        <w:t>A</w:t>
      </w:r>
      <w:r>
        <w:rPr>
          <w:rFonts w:hint="eastAsia" w:ascii="宋体" w:hAnsi="宋体" w:eastAsia="宋体" w:cs="宋体"/>
          <w:spacing w:val="9"/>
          <w:sz w:val="21"/>
          <w:szCs w:val="21"/>
          <w:lang w:eastAsia="zh-CN"/>
        </w:rPr>
        <w:t>。</w:t>
      </w:r>
    </w:p>
    <w:p w14:paraId="3D131D60">
      <w:pPr>
        <w:pStyle w:val="5"/>
        <w:spacing w:before="59" w:line="360" w:lineRule="auto"/>
        <w:ind w:left="5"/>
        <w:rPr>
          <w:spacing w:val="2"/>
          <w:sz w:val="20"/>
          <w:szCs w:val="20"/>
          <w:lang w:eastAsia="zh-CN"/>
        </w:rPr>
      </w:pPr>
    </w:p>
    <w:p w14:paraId="45DB8F5D">
      <w:pPr>
        <w:pStyle w:val="5"/>
        <w:spacing w:before="59" w:line="360" w:lineRule="auto"/>
        <w:ind w:left="5"/>
        <w:rPr>
          <w:rFonts w:hint="eastAsia"/>
          <w:spacing w:val="16"/>
          <w:sz w:val="20"/>
          <w:szCs w:val="20"/>
          <w:lang w:eastAsia="zh-CN"/>
        </w:rPr>
      </w:pPr>
      <w:r>
        <w:rPr>
          <w:spacing w:val="2"/>
          <w:sz w:val="20"/>
          <w:szCs w:val="20"/>
          <w:lang w:eastAsia="zh-CN"/>
        </w:rPr>
        <w:t>3.</w:t>
      </w:r>
      <w:r>
        <w:rPr>
          <w:rFonts w:hint="eastAsia"/>
          <w:spacing w:val="2"/>
          <w:sz w:val="20"/>
          <w:szCs w:val="20"/>
          <w:lang w:eastAsia="zh-CN"/>
        </w:rPr>
        <w:t>5</w:t>
      </w:r>
      <w:r>
        <w:rPr>
          <w:rFonts w:hint="eastAsia"/>
          <w:spacing w:val="16"/>
          <w:sz w:val="20"/>
          <w:szCs w:val="20"/>
          <w:lang w:eastAsia="zh-CN"/>
        </w:rPr>
        <w:t>基质成熟度</w:t>
      </w:r>
      <w:r>
        <w:rPr>
          <w:spacing w:val="16"/>
          <w:sz w:val="20"/>
          <w:szCs w:val="20"/>
          <w:lang w:eastAsia="zh-CN"/>
        </w:rPr>
        <w:t xml:space="preserve"> matrix maturity</w:t>
      </w:r>
    </w:p>
    <w:p w14:paraId="1317AE17">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通过</w:t>
      </w:r>
      <w:r>
        <w:rPr>
          <w:rFonts w:ascii="宋体" w:hAnsi="宋体" w:eastAsia="宋体" w:cs="宋体"/>
          <w:spacing w:val="9"/>
          <w:sz w:val="21"/>
          <w:szCs w:val="21"/>
          <w:lang w:eastAsia="zh-CN"/>
        </w:rPr>
        <w:t>MRI T2 mapping</w:t>
      </w:r>
      <w:r>
        <w:rPr>
          <w:rFonts w:hint="eastAsia" w:ascii="宋体" w:hAnsi="宋体" w:eastAsia="宋体" w:cs="宋体"/>
          <w:spacing w:val="9"/>
          <w:sz w:val="21"/>
          <w:szCs w:val="21"/>
          <w:lang w:eastAsia="zh-CN"/>
        </w:rPr>
        <w:t>等方法定量评估的软骨细胞外基质中</w:t>
      </w:r>
      <w:r>
        <w:rPr>
          <w:rFonts w:ascii="宋体" w:hAnsi="宋体" w:eastAsia="宋体" w:cs="宋体"/>
          <w:spacing w:val="9"/>
          <w:sz w:val="21"/>
          <w:szCs w:val="21"/>
          <w:lang w:eastAsia="zh-CN"/>
        </w:rPr>
        <w:t>II</w:t>
      </w:r>
      <w:r>
        <w:rPr>
          <w:rFonts w:hint="eastAsia" w:ascii="宋体" w:hAnsi="宋体" w:eastAsia="宋体" w:cs="宋体"/>
          <w:spacing w:val="9"/>
          <w:sz w:val="21"/>
          <w:szCs w:val="21"/>
          <w:lang w:eastAsia="zh-CN"/>
        </w:rPr>
        <w:t>型胶原和蛋白聚糖的含量及分布状态。</w:t>
      </w:r>
    </w:p>
    <w:p w14:paraId="0E7E70E4">
      <w:pPr>
        <w:pStyle w:val="5"/>
        <w:numPr>
          <w:ilvl w:val="0"/>
          <w:numId w:val="1"/>
        </w:numPr>
        <w:spacing w:before="265" w:line="360" w:lineRule="auto"/>
        <w:outlineLvl w:val="0"/>
        <w:rPr>
          <w:rFonts w:hint="eastAsia"/>
          <w:spacing w:val="7"/>
          <w:sz w:val="20"/>
          <w:szCs w:val="20"/>
          <w:lang w:eastAsia="zh-CN"/>
        </w:rPr>
      </w:pPr>
      <w:bookmarkStart w:id="16" w:name="_Toc215049716"/>
      <w:r>
        <w:rPr>
          <w:rFonts w:hint="eastAsia"/>
          <w:spacing w:val="7"/>
          <w:sz w:val="20"/>
          <w:szCs w:val="20"/>
          <w:lang w:eastAsia="zh-CN"/>
        </w:rPr>
        <w:t>基本要求</w:t>
      </w:r>
      <w:bookmarkEnd w:id="16"/>
    </w:p>
    <w:p w14:paraId="23BD87B6">
      <w:pPr>
        <w:pStyle w:val="5"/>
        <w:numPr>
          <w:ilvl w:val="1"/>
          <w:numId w:val="1"/>
        </w:numPr>
        <w:spacing w:before="265" w:line="360" w:lineRule="auto"/>
        <w:outlineLvl w:val="0"/>
        <w:rPr>
          <w:rFonts w:hint="eastAsia"/>
          <w:spacing w:val="7"/>
          <w:sz w:val="20"/>
          <w:szCs w:val="20"/>
          <w:lang w:eastAsia="zh-CN"/>
        </w:rPr>
      </w:pPr>
      <w:bookmarkStart w:id="17" w:name="_Toc215049717"/>
      <w:r>
        <w:rPr>
          <w:rFonts w:hint="eastAsia"/>
          <w:spacing w:val="7"/>
          <w:sz w:val="20"/>
          <w:szCs w:val="20"/>
          <w:lang w:eastAsia="zh-CN"/>
        </w:rPr>
        <w:t>产品合规性</w:t>
      </w:r>
      <w:bookmarkEnd w:id="17"/>
    </w:p>
    <w:p w14:paraId="4BDEB334">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评估前应完成非临床研究，其中生物学特性研究方面符合GB/T 16886.1—2022的要求。</w:t>
      </w:r>
    </w:p>
    <w:p w14:paraId="21B677BD">
      <w:pPr>
        <w:pStyle w:val="5"/>
        <w:numPr>
          <w:ilvl w:val="1"/>
          <w:numId w:val="1"/>
        </w:numPr>
        <w:spacing w:before="265" w:line="360" w:lineRule="auto"/>
        <w:outlineLvl w:val="0"/>
        <w:rPr>
          <w:rFonts w:hint="eastAsia"/>
          <w:spacing w:val="7"/>
          <w:sz w:val="20"/>
          <w:szCs w:val="20"/>
          <w:lang w:eastAsia="zh-CN"/>
        </w:rPr>
      </w:pPr>
      <w:bookmarkStart w:id="18" w:name="_Toc215049718"/>
      <w:r>
        <w:rPr>
          <w:rFonts w:hint="eastAsia"/>
          <w:spacing w:val="7"/>
          <w:sz w:val="20"/>
          <w:szCs w:val="20"/>
          <w:lang w:eastAsia="zh-CN"/>
        </w:rPr>
        <w:t>伦理与合规要求</w:t>
      </w:r>
      <w:bookmarkEnd w:id="18"/>
    </w:p>
    <w:p w14:paraId="3E2B348D">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评估方案须获得机构伦理委员会批准。</w:t>
      </w:r>
    </w:p>
    <w:p w14:paraId="0166CC98">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涉及临床研究的评估活动，应在国家医学研究登记备案系统完成项目及机构双备案。</w:t>
      </w:r>
    </w:p>
    <w:p w14:paraId="0BCCD5E9">
      <w:pPr>
        <w:pStyle w:val="5"/>
        <w:numPr>
          <w:ilvl w:val="1"/>
          <w:numId w:val="1"/>
        </w:numPr>
        <w:spacing w:before="265" w:line="360" w:lineRule="auto"/>
        <w:outlineLvl w:val="0"/>
        <w:rPr>
          <w:rFonts w:hint="eastAsia"/>
          <w:spacing w:val="7"/>
          <w:sz w:val="20"/>
          <w:szCs w:val="20"/>
          <w:lang w:eastAsia="zh-CN"/>
        </w:rPr>
      </w:pPr>
      <w:bookmarkStart w:id="19" w:name="_Toc215049719"/>
      <w:r>
        <w:rPr>
          <w:rFonts w:hint="eastAsia"/>
          <w:spacing w:val="7"/>
          <w:sz w:val="20"/>
          <w:szCs w:val="20"/>
          <w:lang w:eastAsia="zh-CN"/>
        </w:rPr>
        <w:t>风险控制</w:t>
      </w:r>
      <w:bookmarkEnd w:id="19"/>
    </w:p>
    <w:p w14:paraId="574F56DB">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a）根据法规要求，建立独立数据与安全监察委员会（DMC）；</w:t>
      </w:r>
    </w:p>
    <w:p w14:paraId="7EDE0987">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b）有效的风险控制应从产品起点设置风险评估和应急预案：</w:t>
      </w:r>
    </w:p>
    <w:p w14:paraId="5EE5763D">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制定产品的风险评估和应急预案，从原材料取材、原材料运输、培养支撑物选取、培养过程、产品运输、术后远期等方面建立相应的应急预案。</w:t>
      </w:r>
    </w:p>
    <w:p w14:paraId="745C2023">
      <w:pPr>
        <w:pStyle w:val="5"/>
        <w:numPr>
          <w:ilvl w:val="1"/>
          <w:numId w:val="1"/>
        </w:numPr>
        <w:spacing w:before="265" w:line="360" w:lineRule="auto"/>
        <w:outlineLvl w:val="0"/>
        <w:rPr>
          <w:rFonts w:hint="eastAsia"/>
          <w:spacing w:val="7"/>
          <w:sz w:val="20"/>
          <w:szCs w:val="20"/>
          <w:lang w:eastAsia="zh-CN"/>
        </w:rPr>
      </w:pPr>
      <w:bookmarkStart w:id="20" w:name="_Toc215049720"/>
      <w:r>
        <w:rPr>
          <w:rFonts w:hint="eastAsia"/>
          <w:spacing w:val="7"/>
          <w:sz w:val="20"/>
          <w:szCs w:val="20"/>
          <w:lang w:eastAsia="zh-CN"/>
        </w:rPr>
        <w:t>评估周期</w:t>
      </w:r>
      <w:bookmarkEnd w:id="20"/>
    </w:p>
    <w:p w14:paraId="335D7513">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短期评估：术后1个月±7日、</w:t>
      </w:r>
      <w:r>
        <w:rPr>
          <w:rFonts w:ascii="宋体" w:hAnsi="宋体" w:eastAsia="宋体" w:cs="宋体"/>
          <w:spacing w:val="9"/>
          <w:sz w:val="21"/>
          <w:szCs w:val="21"/>
          <w:lang w:eastAsia="zh-CN"/>
        </w:rPr>
        <w:t>3</w:t>
      </w:r>
      <w:r>
        <w:rPr>
          <w:rFonts w:hint="eastAsia" w:ascii="宋体" w:hAnsi="宋体" w:eastAsia="宋体" w:cs="宋体"/>
          <w:spacing w:val="9"/>
          <w:sz w:val="21"/>
          <w:szCs w:val="21"/>
          <w:lang w:eastAsia="zh-CN"/>
        </w:rPr>
        <w:t>个月±7日。</w:t>
      </w:r>
      <w:r>
        <w:rPr>
          <w:rFonts w:ascii="宋体" w:hAnsi="宋体" w:eastAsia="宋体" w:cs="宋体"/>
          <w:spacing w:val="9"/>
          <w:sz w:val="21"/>
          <w:szCs w:val="21"/>
          <w:lang w:eastAsia="zh-CN"/>
        </w:rPr>
        <w:t xml:space="preserve"> </w:t>
      </w:r>
    </w:p>
    <w:p w14:paraId="6E411CF5">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中期评估：术后</w:t>
      </w:r>
      <w:r>
        <w:rPr>
          <w:rFonts w:ascii="宋体" w:hAnsi="宋体" w:eastAsia="宋体" w:cs="宋体"/>
          <w:spacing w:val="9"/>
          <w:sz w:val="21"/>
          <w:szCs w:val="21"/>
          <w:lang w:eastAsia="zh-CN"/>
        </w:rPr>
        <w:t>6</w:t>
      </w:r>
      <w:r>
        <w:rPr>
          <w:rFonts w:hint="eastAsia" w:ascii="宋体" w:hAnsi="宋体" w:eastAsia="宋体" w:cs="宋体"/>
          <w:spacing w:val="9"/>
          <w:sz w:val="21"/>
          <w:szCs w:val="21"/>
          <w:lang w:eastAsia="zh-CN"/>
        </w:rPr>
        <w:t>个月±14日、</w:t>
      </w:r>
      <w:r>
        <w:rPr>
          <w:rFonts w:ascii="宋体" w:hAnsi="宋体" w:eastAsia="宋体" w:cs="宋体"/>
          <w:spacing w:val="9"/>
          <w:sz w:val="21"/>
          <w:szCs w:val="21"/>
          <w:lang w:eastAsia="zh-CN"/>
        </w:rPr>
        <w:t>12</w:t>
      </w:r>
      <w:r>
        <w:rPr>
          <w:rFonts w:hint="eastAsia" w:ascii="宋体" w:hAnsi="宋体" w:eastAsia="宋体" w:cs="宋体"/>
          <w:spacing w:val="9"/>
          <w:sz w:val="21"/>
          <w:szCs w:val="21"/>
          <w:lang w:eastAsia="zh-CN"/>
        </w:rPr>
        <w:t>个月±30日。</w:t>
      </w:r>
    </w:p>
    <w:p w14:paraId="23F006B3">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c) </w:t>
      </w:r>
      <w:r>
        <w:rPr>
          <w:rFonts w:hint="eastAsia" w:ascii="宋体" w:hAnsi="宋体" w:eastAsia="宋体" w:cs="宋体"/>
          <w:spacing w:val="9"/>
          <w:sz w:val="21"/>
          <w:szCs w:val="21"/>
          <w:lang w:eastAsia="zh-CN"/>
        </w:rPr>
        <w:t>长期评估：根据研究的要求，设定长期评估频次。如：术后</w:t>
      </w:r>
      <w:r>
        <w:rPr>
          <w:rFonts w:ascii="宋体" w:hAnsi="宋体" w:eastAsia="宋体" w:cs="宋体"/>
          <w:spacing w:val="9"/>
          <w:sz w:val="21"/>
          <w:szCs w:val="21"/>
          <w:lang w:eastAsia="zh-CN"/>
        </w:rPr>
        <w:t>24</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30</w:t>
      </w:r>
      <w:r>
        <w:rPr>
          <w:rFonts w:hint="eastAsia" w:ascii="宋体" w:hAnsi="宋体" w:eastAsia="宋体" w:cs="宋体"/>
          <w:spacing w:val="9"/>
          <w:sz w:val="21"/>
          <w:szCs w:val="21"/>
          <w:lang w:eastAsia="zh-CN"/>
        </w:rPr>
        <w:t>日。</w:t>
      </w:r>
    </w:p>
    <w:p w14:paraId="66CE658C">
      <w:pPr>
        <w:pStyle w:val="5"/>
        <w:numPr>
          <w:ilvl w:val="0"/>
          <w:numId w:val="1"/>
        </w:numPr>
        <w:spacing w:before="265" w:line="360" w:lineRule="auto"/>
        <w:outlineLvl w:val="0"/>
        <w:rPr>
          <w:rFonts w:hint="eastAsia"/>
          <w:spacing w:val="7"/>
          <w:sz w:val="20"/>
          <w:szCs w:val="20"/>
          <w:lang w:eastAsia="zh-CN"/>
        </w:rPr>
      </w:pPr>
      <w:bookmarkStart w:id="21" w:name="_Toc215049721"/>
      <w:r>
        <w:rPr>
          <w:rFonts w:hint="eastAsia"/>
          <w:spacing w:val="7"/>
          <w:sz w:val="20"/>
          <w:szCs w:val="20"/>
          <w:lang w:eastAsia="zh-CN"/>
        </w:rPr>
        <w:t>评估方法</w:t>
      </w:r>
      <w:bookmarkEnd w:id="21"/>
    </w:p>
    <w:p w14:paraId="171A8E2B">
      <w:pPr>
        <w:pStyle w:val="5"/>
        <w:numPr>
          <w:ilvl w:val="1"/>
          <w:numId w:val="1"/>
        </w:numPr>
        <w:spacing w:before="265" w:line="360" w:lineRule="auto"/>
        <w:outlineLvl w:val="0"/>
        <w:rPr>
          <w:rFonts w:hint="eastAsia"/>
          <w:spacing w:val="7"/>
          <w:sz w:val="20"/>
          <w:szCs w:val="20"/>
          <w:lang w:eastAsia="zh-CN"/>
        </w:rPr>
      </w:pPr>
      <w:bookmarkStart w:id="22" w:name="_Toc215049682"/>
      <w:bookmarkStart w:id="23" w:name="_Toc215049722"/>
      <w:r>
        <w:rPr>
          <w:rFonts w:hint="eastAsia"/>
          <w:spacing w:val="7"/>
          <w:sz w:val="20"/>
          <w:szCs w:val="20"/>
          <w:lang w:eastAsia="zh-CN"/>
        </w:rPr>
        <w:t>形态学评估</w:t>
      </w:r>
      <w:bookmarkEnd w:id="22"/>
      <w:bookmarkEnd w:id="23"/>
    </w:p>
    <w:p w14:paraId="2B440A8C">
      <w:pPr>
        <w:pStyle w:val="5"/>
        <w:spacing w:before="265" w:line="360" w:lineRule="auto"/>
        <w:outlineLvl w:val="0"/>
        <w:rPr>
          <w:rFonts w:hint="eastAsia"/>
          <w:spacing w:val="7"/>
          <w:sz w:val="20"/>
          <w:szCs w:val="20"/>
          <w:lang w:eastAsia="zh-CN"/>
        </w:rPr>
      </w:pPr>
      <w:bookmarkStart w:id="24" w:name="_Toc215049723"/>
      <w:bookmarkStart w:id="25" w:name="_Toc215049683"/>
      <w:r>
        <w:rPr>
          <w:spacing w:val="7"/>
          <w:sz w:val="20"/>
          <w:szCs w:val="20"/>
          <w:lang w:eastAsia="zh-CN"/>
        </w:rPr>
        <w:t xml:space="preserve">5.1.1 </w:t>
      </w:r>
      <w:r>
        <w:rPr>
          <w:rFonts w:hint="eastAsia"/>
          <w:spacing w:val="7"/>
          <w:sz w:val="20"/>
          <w:szCs w:val="20"/>
          <w:lang w:eastAsia="zh-CN"/>
        </w:rPr>
        <w:t>磁共振扫描（</w:t>
      </w:r>
      <w:r>
        <w:rPr>
          <w:spacing w:val="7"/>
          <w:sz w:val="20"/>
          <w:szCs w:val="20"/>
          <w:lang w:eastAsia="zh-CN"/>
        </w:rPr>
        <w:t>MRI</w:t>
      </w:r>
      <w:r>
        <w:rPr>
          <w:rFonts w:hint="eastAsia"/>
          <w:spacing w:val="7"/>
          <w:sz w:val="20"/>
          <w:szCs w:val="20"/>
          <w:lang w:eastAsia="zh-CN"/>
        </w:rPr>
        <w:t>）</w:t>
      </w:r>
      <w:bookmarkEnd w:id="24"/>
      <w:bookmarkEnd w:id="25"/>
    </w:p>
    <w:p w14:paraId="337AEB1D">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参照</w:t>
      </w:r>
      <w:r>
        <w:rPr>
          <w:rFonts w:ascii="宋体" w:hAnsi="宋体" w:eastAsia="宋体" w:cs="宋体"/>
          <w:spacing w:val="9"/>
          <w:sz w:val="21"/>
          <w:szCs w:val="21"/>
          <w:lang w:eastAsia="zh-CN"/>
        </w:rPr>
        <w:t xml:space="preserve"> 4.4 </w:t>
      </w:r>
      <w:r>
        <w:rPr>
          <w:rFonts w:hint="eastAsia" w:ascii="宋体" w:hAnsi="宋体" w:eastAsia="宋体" w:cs="宋体"/>
          <w:spacing w:val="9"/>
          <w:sz w:val="21"/>
          <w:szCs w:val="21"/>
          <w:lang w:eastAsia="zh-CN"/>
        </w:rPr>
        <w:t>评估周期要求，在术后</w:t>
      </w:r>
      <w:r>
        <w:rPr>
          <w:rFonts w:ascii="宋体" w:hAnsi="宋体" w:eastAsia="宋体" w:cs="宋体"/>
          <w:spacing w:val="9"/>
          <w:sz w:val="21"/>
          <w:szCs w:val="21"/>
          <w:lang w:eastAsia="zh-CN"/>
        </w:rPr>
        <w:t xml:space="preserve"> 3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±7 </w:t>
      </w:r>
      <w:r>
        <w:rPr>
          <w:rFonts w:hint="eastAsia" w:ascii="宋体" w:hAnsi="宋体" w:eastAsia="宋体" w:cs="宋体"/>
          <w:spacing w:val="9"/>
          <w:sz w:val="21"/>
          <w:szCs w:val="21"/>
          <w:lang w:eastAsia="zh-CN"/>
        </w:rPr>
        <w:t>日、</w:t>
      </w:r>
      <w:r>
        <w:rPr>
          <w:rFonts w:ascii="宋体" w:hAnsi="宋体" w:eastAsia="宋体" w:cs="宋体"/>
          <w:spacing w:val="9"/>
          <w:sz w:val="21"/>
          <w:szCs w:val="21"/>
          <w:lang w:eastAsia="zh-CN"/>
        </w:rPr>
        <w:t xml:space="preserve">6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±14 </w:t>
      </w:r>
      <w:r>
        <w:rPr>
          <w:rFonts w:hint="eastAsia" w:ascii="宋体" w:hAnsi="宋体" w:eastAsia="宋体" w:cs="宋体"/>
          <w:spacing w:val="9"/>
          <w:sz w:val="21"/>
          <w:szCs w:val="21"/>
          <w:lang w:eastAsia="zh-CN"/>
        </w:rPr>
        <w:t>日、</w:t>
      </w:r>
      <w:r>
        <w:rPr>
          <w:rFonts w:ascii="宋体" w:hAnsi="宋体" w:eastAsia="宋体" w:cs="宋体"/>
          <w:spacing w:val="9"/>
          <w:sz w:val="21"/>
          <w:szCs w:val="21"/>
          <w:lang w:eastAsia="zh-CN"/>
        </w:rPr>
        <w:t xml:space="preserve">12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±30 </w:t>
      </w:r>
      <w:r>
        <w:rPr>
          <w:rFonts w:hint="eastAsia" w:ascii="宋体" w:hAnsi="宋体" w:eastAsia="宋体" w:cs="宋体"/>
          <w:spacing w:val="9"/>
          <w:sz w:val="21"/>
          <w:szCs w:val="21"/>
          <w:lang w:eastAsia="zh-CN"/>
        </w:rPr>
        <w:t>日、</w:t>
      </w:r>
      <w:r>
        <w:rPr>
          <w:rFonts w:ascii="宋体" w:hAnsi="宋体" w:eastAsia="宋体" w:cs="宋体"/>
          <w:spacing w:val="9"/>
          <w:sz w:val="21"/>
          <w:szCs w:val="21"/>
          <w:lang w:eastAsia="zh-CN"/>
        </w:rPr>
        <w:t xml:space="preserve">24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±30 </w:t>
      </w:r>
      <w:r>
        <w:rPr>
          <w:rFonts w:hint="eastAsia" w:ascii="宋体" w:hAnsi="宋体" w:eastAsia="宋体" w:cs="宋体"/>
          <w:spacing w:val="9"/>
          <w:sz w:val="21"/>
          <w:szCs w:val="21"/>
          <w:lang w:eastAsia="zh-CN"/>
        </w:rPr>
        <w:t>日等关键时间点，根据研究需要实施</w:t>
      </w:r>
      <w:r>
        <w:rPr>
          <w:rFonts w:ascii="宋体" w:hAnsi="宋体" w:eastAsia="宋体" w:cs="宋体"/>
          <w:spacing w:val="9"/>
          <w:sz w:val="21"/>
          <w:szCs w:val="21"/>
          <w:lang w:eastAsia="zh-CN"/>
        </w:rPr>
        <w:t xml:space="preserve"> MRI </w:t>
      </w:r>
      <w:r>
        <w:rPr>
          <w:rFonts w:hint="eastAsia" w:ascii="宋体" w:hAnsi="宋体" w:eastAsia="宋体" w:cs="宋体"/>
          <w:spacing w:val="9"/>
          <w:sz w:val="21"/>
          <w:szCs w:val="21"/>
          <w:lang w:eastAsia="zh-CN"/>
        </w:rPr>
        <w:t>扫描，扫描要求如下：</w:t>
      </w:r>
    </w:p>
    <w:p w14:paraId="0D9A963F">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扫描序列：必选</w:t>
      </w:r>
      <w:r>
        <w:rPr>
          <w:rFonts w:ascii="宋体" w:hAnsi="宋体" w:eastAsia="宋体" w:cs="宋体"/>
          <w:spacing w:val="9"/>
          <w:sz w:val="21"/>
          <w:szCs w:val="21"/>
          <w:lang w:eastAsia="zh-CN"/>
        </w:rPr>
        <w:t xml:space="preserve"> T2 mapping </w:t>
      </w:r>
      <w:r>
        <w:rPr>
          <w:rFonts w:hint="eastAsia" w:ascii="宋体" w:hAnsi="宋体" w:eastAsia="宋体" w:cs="宋体"/>
          <w:spacing w:val="9"/>
          <w:sz w:val="21"/>
          <w:szCs w:val="21"/>
          <w:lang w:eastAsia="zh-CN"/>
        </w:rPr>
        <w:t>序列、</w:t>
      </w:r>
      <w:r>
        <w:rPr>
          <w:rFonts w:ascii="宋体" w:hAnsi="宋体" w:eastAsia="宋体" w:cs="宋体"/>
          <w:spacing w:val="9"/>
          <w:sz w:val="21"/>
          <w:szCs w:val="21"/>
          <w:lang w:eastAsia="zh-CN"/>
        </w:rPr>
        <w:t xml:space="preserve">T1 </w:t>
      </w:r>
      <w:r>
        <w:rPr>
          <w:rFonts w:hint="eastAsia" w:ascii="宋体" w:hAnsi="宋体" w:eastAsia="宋体" w:cs="宋体"/>
          <w:spacing w:val="9"/>
          <w:sz w:val="21"/>
          <w:szCs w:val="21"/>
          <w:lang w:eastAsia="zh-CN"/>
        </w:rPr>
        <w:t>加权自旋回波序列，可选</w:t>
      </w:r>
      <w:r>
        <w:rPr>
          <w:rFonts w:ascii="宋体" w:hAnsi="宋体" w:eastAsia="宋体" w:cs="宋体"/>
          <w:spacing w:val="9"/>
          <w:sz w:val="21"/>
          <w:szCs w:val="21"/>
          <w:lang w:eastAsia="zh-CN"/>
        </w:rPr>
        <w:t xml:space="preserve"> T2 * </w:t>
      </w:r>
      <w:r>
        <w:rPr>
          <w:rFonts w:hint="eastAsia" w:ascii="宋体" w:hAnsi="宋体" w:eastAsia="宋体" w:cs="宋体"/>
          <w:spacing w:val="9"/>
          <w:sz w:val="21"/>
          <w:szCs w:val="21"/>
          <w:lang w:eastAsia="zh-CN"/>
        </w:rPr>
        <w:t>梯度回波序列；</w:t>
      </w:r>
    </w:p>
    <w:p w14:paraId="7E82B923">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扫描参数：层厚≤</w:t>
      </w:r>
      <w:r>
        <w:rPr>
          <w:rFonts w:ascii="宋体" w:hAnsi="宋体" w:eastAsia="宋体" w:cs="宋体"/>
          <w:spacing w:val="9"/>
          <w:sz w:val="21"/>
          <w:szCs w:val="21"/>
          <w:lang w:eastAsia="zh-CN"/>
        </w:rPr>
        <w:t>1.0 mm</w:t>
      </w:r>
      <w:r>
        <w:rPr>
          <w:rFonts w:hint="eastAsia" w:ascii="宋体" w:hAnsi="宋体" w:eastAsia="宋体" w:cs="宋体"/>
          <w:spacing w:val="9"/>
          <w:sz w:val="21"/>
          <w:szCs w:val="21"/>
          <w:lang w:eastAsia="zh-CN"/>
        </w:rPr>
        <w:t>，层间距≤</w:t>
      </w:r>
      <w:r>
        <w:rPr>
          <w:rFonts w:ascii="宋体" w:hAnsi="宋体" w:eastAsia="宋体" w:cs="宋体"/>
          <w:spacing w:val="9"/>
          <w:sz w:val="21"/>
          <w:szCs w:val="21"/>
          <w:lang w:eastAsia="zh-CN"/>
        </w:rPr>
        <w:t>0.5 mm</w:t>
      </w:r>
      <w:r>
        <w:rPr>
          <w:rFonts w:hint="eastAsia" w:ascii="宋体" w:hAnsi="宋体" w:eastAsia="宋体" w:cs="宋体"/>
          <w:spacing w:val="9"/>
          <w:sz w:val="21"/>
          <w:szCs w:val="21"/>
          <w:lang w:eastAsia="zh-CN"/>
        </w:rPr>
        <w:t>，矩阵≥</w:t>
      </w:r>
      <w:r>
        <w:rPr>
          <w:rFonts w:ascii="宋体" w:hAnsi="宋体" w:eastAsia="宋体" w:cs="宋体"/>
          <w:spacing w:val="9"/>
          <w:sz w:val="21"/>
          <w:szCs w:val="21"/>
          <w:lang w:eastAsia="zh-CN"/>
        </w:rPr>
        <w:t>320×320</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TR 300-600 ms</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T1 </w:t>
      </w:r>
      <w:r>
        <w:rPr>
          <w:rFonts w:hint="eastAsia" w:ascii="宋体" w:hAnsi="宋体" w:eastAsia="宋体" w:cs="宋体"/>
          <w:spacing w:val="9"/>
          <w:sz w:val="21"/>
          <w:szCs w:val="21"/>
          <w:lang w:eastAsia="zh-CN"/>
        </w:rPr>
        <w:t>序列）、</w:t>
      </w:r>
      <w:r>
        <w:rPr>
          <w:rFonts w:ascii="宋体" w:hAnsi="宋体" w:eastAsia="宋体" w:cs="宋体"/>
          <w:spacing w:val="9"/>
          <w:sz w:val="21"/>
          <w:szCs w:val="21"/>
          <w:lang w:eastAsia="zh-CN"/>
        </w:rPr>
        <w:t>TR 2000-3000 ms</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T2 mapping </w:t>
      </w:r>
      <w:r>
        <w:rPr>
          <w:rFonts w:hint="eastAsia" w:ascii="宋体" w:hAnsi="宋体" w:eastAsia="宋体" w:cs="宋体"/>
          <w:spacing w:val="9"/>
          <w:sz w:val="21"/>
          <w:szCs w:val="21"/>
          <w:lang w:eastAsia="zh-CN"/>
        </w:rPr>
        <w:t>序列），</w:t>
      </w:r>
      <w:r>
        <w:rPr>
          <w:rFonts w:ascii="宋体" w:hAnsi="宋体" w:eastAsia="宋体" w:cs="宋体"/>
          <w:spacing w:val="9"/>
          <w:sz w:val="21"/>
          <w:szCs w:val="21"/>
          <w:lang w:eastAsia="zh-CN"/>
        </w:rPr>
        <w:t>TE 10-30 ms</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T1 </w:t>
      </w:r>
      <w:r>
        <w:rPr>
          <w:rFonts w:hint="eastAsia" w:ascii="宋体" w:hAnsi="宋体" w:eastAsia="宋体" w:cs="宋体"/>
          <w:spacing w:val="9"/>
          <w:sz w:val="21"/>
          <w:szCs w:val="21"/>
          <w:lang w:eastAsia="zh-CN"/>
        </w:rPr>
        <w:t>序列）、</w:t>
      </w:r>
      <w:r>
        <w:rPr>
          <w:rFonts w:ascii="宋体" w:hAnsi="宋体" w:eastAsia="宋体" w:cs="宋体"/>
          <w:spacing w:val="9"/>
          <w:sz w:val="21"/>
          <w:szCs w:val="21"/>
          <w:lang w:eastAsia="zh-CN"/>
        </w:rPr>
        <w:t>TE 10-80 ms</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T2 mapping </w:t>
      </w:r>
      <w:r>
        <w:rPr>
          <w:rFonts w:hint="eastAsia" w:ascii="宋体" w:hAnsi="宋体" w:eastAsia="宋体" w:cs="宋体"/>
          <w:spacing w:val="9"/>
          <w:sz w:val="21"/>
          <w:szCs w:val="21"/>
          <w:lang w:eastAsia="zh-CN"/>
        </w:rPr>
        <w:t>序列）；</w:t>
      </w:r>
    </w:p>
    <w:p w14:paraId="78057424">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扫描范围：覆盖移植物及周边</w:t>
      </w:r>
      <w:r>
        <w:rPr>
          <w:rFonts w:ascii="宋体" w:hAnsi="宋体" w:eastAsia="宋体" w:cs="宋体"/>
          <w:spacing w:val="9"/>
          <w:sz w:val="21"/>
          <w:szCs w:val="21"/>
          <w:lang w:eastAsia="zh-CN"/>
        </w:rPr>
        <w:t xml:space="preserve"> 2 cm </w:t>
      </w:r>
      <w:r>
        <w:rPr>
          <w:rFonts w:hint="eastAsia" w:ascii="宋体" w:hAnsi="宋体" w:eastAsia="宋体" w:cs="宋体"/>
          <w:spacing w:val="9"/>
          <w:sz w:val="21"/>
          <w:szCs w:val="21"/>
          <w:lang w:eastAsia="zh-CN"/>
        </w:rPr>
        <w:t>内宿主组织，患者取仰卧位，头部固定，避免运动伪影。</w:t>
      </w:r>
    </w:p>
    <w:p w14:paraId="7DA03320">
      <w:pPr>
        <w:pStyle w:val="5"/>
        <w:spacing w:before="265" w:line="360" w:lineRule="auto"/>
        <w:outlineLvl w:val="0"/>
        <w:rPr>
          <w:rFonts w:hint="eastAsia" w:ascii="宋体" w:hAnsi="宋体" w:eastAsia="宋体" w:cs="宋体"/>
          <w:spacing w:val="9"/>
          <w:sz w:val="21"/>
          <w:szCs w:val="21"/>
          <w:lang w:eastAsia="zh-CN"/>
        </w:rPr>
      </w:pPr>
      <w:bookmarkStart w:id="26" w:name="_Toc215049724"/>
      <w:bookmarkStart w:id="27" w:name="_Toc215049684"/>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软骨体积测量及基质成熟度评估按附录</w:t>
      </w:r>
      <w:r>
        <w:rPr>
          <w:rFonts w:ascii="宋体" w:hAnsi="宋体" w:eastAsia="宋体" w:cs="宋体"/>
          <w:spacing w:val="9"/>
          <w:sz w:val="21"/>
          <w:szCs w:val="21"/>
          <w:lang w:eastAsia="zh-CN"/>
        </w:rPr>
        <w:t xml:space="preserve"> A </w:t>
      </w:r>
      <w:r>
        <w:rPr>
          <w:rFonts w:hint="eastAsia" w:ascii="宋体" w:hAnsi="宋体" w:eastAsia="宋体" w:cs="宋体"/>
          <w:spacing w:val="9"/>
          <w:sz w:val="21"/>
          <w:szCs w:val="21"/>
          <w:lang w:eastAsia="zh-CN"/>
        </w:rPr>
        <w:t>执行。</w:t>
      </w:r>
      <w:bookmarkEnd w:id="26"/>
      <w:bookmarkEnd w:id="27"/>
    </w:p>
    <w:p w14:paraId="5D1262A0">
      <w:pPr>
        <w:pStyle w:val="5"/>
        <w:spacing w:before="265" w:line="360" w:lineRule="auto"/>
        <w:outlineLvl w:val="0"/>
        <w:rPr>
          <w:rFonts w:hint="eastAsia"/>
          <w:spacing w:val="7"/>
          <w:sz w:val="20"/>
          <w:szCs w:val="20"/>
          <w:lang w:eastAsia="zh-CN"/>
        </w:rPr>
      </w:pPr>
      <w:bookmarkStart w:id="28" w:name="_Toc215049685"/>
      <w:bookmarkStart w:id="29" w:name="_Toc215049725"/>
      <w:r>
        <w:rPr>
          <w:spacing w:val="7"/>
          <w:sz w:val="20"/>
          <w:szCs w:val="20"/>
          <w:lang w:eastAsia="zh-CN"/>
        </w:rPr>
        <w:t>5.1.2 3D</w:t>
      </w:r>
      <w:r>
        <w:rPr>
          <w:rFonts w:hint="eastAsia"/>
          <w:spacing w:val="7"/>
          <w:sz w:val="20"/>
          <w:szCs w:val="20"/>
          <w:lang w:eastAsia="zh-CN"/>
        </w:rPr>
        <w:t>表面扫描</w:t>
      </w:r>
      <w:bookmarkEnd w:id="28"/>
      <w:bookmarkEnd w:id="29"/>
    </w:p>
    <w:p w14:paraId="255E7516">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参照4.4.评估周期的要求，根据研究需要，进行面部</w:t>
      </w:r>
      <w:r>
        <w:rPr>
          <w:rFonts w:ascii="宋体" w:hAnsi="宋体" w:eastAsia="宋体" w:cs="宋体"/>
          <w:spacing w:val="9"/>
          <w:sz w:val="21"/>
          <w:szCs w:val="21"/>
          <w:lang w:eastAsia="zh-CN"/>
        </w:rPr>
        <w:t>3D</w:t>
      </w:r>
      <w:r>
        <w:rPr>
          <w:rFonts w:hint="eastAsia" w:ascii="宋体" w:hAnsi="宋体" w:eastAsia="宋体" w:cs="宋体"/>
          <w:spacing w:val="9"/>
          <w:sz w:val="21"/>
          <w:szCs w:val="21"/>
          <w:lang w:eastAsia="zh-CN"/>
        </w:rPr>
        <w:t>扫描，扫描要求：</w:t>
      </w:r>
    </w:p>
    <w:p w14:paraId="33BE821E">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空间分辨率≥</w:t>
      </w:r>
      <w:r>
        <w:rPr>
          <w:rFonts w:ascii="宋体" w:hAnsi="宋体" w:eastAsia="宋体" w:cs="宋体"/>
          <w:spacing w:val="9"/>
          <w:sz w:val="21"/>
          <w:szCs w:val="21"/>
          <w:lang w:eastAsia="zh-CN"/>
        </w:rPr>
        <w:t>0.1 mm</w:t>
      </w:r>
      <w:r>
        <w:rPr>
          <w:rFonts w:hint="eastAsia" w:ascii="宋体" w:hAnsi="宋体" w:eastAsia="宋体" w:cs="宋体"/>
          <w:spacing w:val="9"/>
          <w:sz w:val="21"/>
          <w:szCs w:val="21"/>
          <w:lang w:eastAsia="zh-CN"/>
        </w:rPr>
        <w:t>；</w:t>
      </w:r>
    </w:p>
    <w:p w14:paraId="2E928A6C">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扫描范围应覆盖整个面部；</w:t>
      </w:r>
    </w:p>
    <w:p w14:paraId="0C663466">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患者取坐位，双眼平视前方；</w:t>
      </w:r>
    </w:p>
    <w:p w14:paraId="65CFA3FD">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扫描景深约</w:t>
      </w:r>
      <w:r>
        <w:rPr>
          <w:rFonts w:ascii="宋体" w:hAnsi="宋体" w:eastAsia="宋体" w:cs="宋体"/>
          <w:spacing w:val="9"/>
          <w:sz w:val="21"/>
          <w:szCs w:val="21"/>
          <w:lang w:eastAsia="zh-CN"/>
        </w:rPr>
        <w:t xml:space="preserve"> 200-500 mm</w:t>
      </w:r>
      <w:r>
        <w:rPr>
          <w:rFonts w:hint="eastAsia" w:ascii="宋体" w:hAnsi="宋体" w:eastAsia="宋体" w:cs="宋体"/>
          <w:spacing w:val="9"/>
          <w:sz w:val="21"/>
          <w:szCs w:val="21"/>
          <w:lang w:eastAsia="zh-CN"/>
        </w:rPr>
        <w:t>，超出范围易出现数据缺失或拼接误差；</w:t>
      </w:r>
    </w:p>
    <w:p w14:paraId="69D3126D">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反光、透明或深色区域需喷粉处理，否则会造成局部空洞；</w:t>
      </w:r>
    </w:p>
    <w:p w14:paraId="6176C08E">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一次性扫描面积≤</w:t>
      </w:r>
      <w:r>
        <w:rPr>
          <w:rFonts w:ascii="宋体" w:hAnsi="宋体" w:eastAsia="宋体" w:cs="宋体"/>
          <w:spacing w:val="9"/>
          <w:sz w:val="21"/>
          <w:szCs w:val="21"/>
          <w:lang w:eastAsia="zh-CN"/>
        </w:rPr>
        <w:t xml:space="preserve">200 mm×200 mm </w:t>
      </w:r>
      <w:r>
        <w:rPr>
          <w:rFonts w:hint="eastAsia" w:ascii="宋体" w:hAnsi="宋体" w:eastAsia="宋体" w:cs="宋体"/>
          <w:spacing w:val="9"/>
          <w:sz w:val="21"/>
          <w:szCs w:val="21"/>
          <w:lang w:eastAsia="zh-CN"/>
        </w:rPr>
        <w:t>时，需多次拼接，拼接误差应≤</w:t>
      </w:r>
      <w:r>
        <w:rPr>
          <w:rFonts w:ascii="宋体" w:hAnsi="宋体" w:eastAsia="宋体" w:cs="宋体"/>
          <w:spacing w:val="9"/>
          <w:sz w:val="21"/>
          <w:szCs w:val="21"/>
          <w:lang w:eastAsia="zh-CN"/>
        </w:rPr>
        <w:t>0.</w:t>
      </w:r>
      <w:r>
        <w:rPr>
          <w:rFonts w:hint="eastAsia" w:ascii="宋体" w:hAnsi="宋体" w:eastAsia="宋体" w:cs="宋体"/>
          <w:spacing w:val="9"/>
          <w:sz w:val="21"/>
          <w:szCs w:val="21"/>
          <w:lang w:eastAsia="zh-CN"/>
        </w:rPr>
        <w:t>1</w:t>
      </w:r>
      <w:r>
        <w:rPr>
          <w:rFonts w:ascii="宋体" w:hAnsi="宋体" w:eastAsia="宋体" w:cs="宋体"/>
          <w:spacing w:val="9"/>
          <w:sz w:val="21"/>
          <w:szCs w:val="21"/>
          <w:lang w:eastAsia="zh-CN"/>
        </w:rPr>
        <w:t xml:space="preserve"> mm</w:t>
      </w:r>
      <w:r>
        <w:rPr>
          <w:rFonts w:hint="eastAsia" w:ascii="宋体" w:hAnsi="宋体" w:eastAsia="宋体" w:cs="宋体"/>
          <w:spacing w:val="9"/>
          <w:sz w:val="21"/>
          <w:szCs w:val="21"/>
          <w:lang w:eastAsia="zh-CN"/>
        </w:rPr>
        <w:t>；</w:t>
      </w:r>
    </w:p>
    <w:p w14:paraId="453993C1">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环境光照变化</w:t>
      </w:r>
      <w:r>
        <w:rPr>
          <w:rFonts w:ascii="宋体" w:hAnsi="宋体" w:eastAsia="宋体" w:cs="宋体"/>
          <w:spacing w:val="9"/>
          <w:sz w:val="21"/>
          <w:szCs w:val="21"/>
          <w:lang w:eastAsia="zh-CN"/>
        </w:rPr>
        <w:t xml:space="preserve">&gt;500 lux </w:t>
      </w:r>
      <w:r>
        <w:rPr>
          <w:rFonts w:hint="eastAsia" w:ascii="宋体" w:hAnsi="宋体" w:eastAsia="宋体" w:cs="宋体"/>
          <w:spacing w:val="9"/>
          <w:sz w:val="21"/>
          <w:szCs w:val="21"/>
          <w:lang w:eastAsia="zh-CN"/>
        </w:rPr>
        <w:t>或振动</w:t>
      </w:r>
      <w:r>
        <w:rPr>
          <w:rFonts w:ascii="宋体" w:hAnsi="宋体" w:eastAsia="宋体" w:cs="宋体"/>
          <w:spacing w:val="9"/>
          <w:sz w:val="21"/>
          <w:szCs w:val="21"/>
          <w:lang w:eastAsia="zh-CN"/>
        </w:rPr>
        <w:t xml:space="preserve">&gt;0.1 g </w:t>
      </w:r>
      <w:r>
        <w:rPr>
          <w:rFonts w:hint="eastAsia" w:ascii="宋体" w:hAnsi="宋体" w:eastAsia="宋体" w:cs="宋体"/>
          <w:spacing w:val="9"/>
          <w:sz w:val="21"/>
          <w:szCs w:val="21"/>
          <w:lang w:eastAsia="zh-CN"/>
        </w:rPr>
        <w:t>时，应重新校准并复扫。</w:t>
      </w:r>
      <w:r>
        <w:rPr>
          <w:rFonts w:ascii="宋体" w:hAnsi="宋体" w:eastAsia="宋体" w:cs="宋体"/>
          <w:spacing w:val="9"/>
          <w:sz w:val="21"/>
          <w:szCs w:val="21"/>
          <w:lang w:eastAsia="zh-CN"/>
        </w:rPr>
        <w:t xml:space="preserve"> </w:t>
      </w:r>
    </w:p>
    <w:p w14:paraId="46D51CB0">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对称性分析应按附录</w:t>
      </w:r>
      <w:r>
        <w:rPr>
          <w:rFonts w:ascii="宋体" w:hAnsi="宋体" w:eastAsia="宋体" w:cs="宋体"/>
          <w:spacing w:val="9"/>
          <w:sz w:val="21"/>
          <w:szCs w:val="21"/>
          <w:lang w:eastAsia="zh-CN"/>
        </w:rPr>
        <w:t>A</w:t>
      </w:r>
      <w:r>
        <w:rPr>
          <w:rFonts w:hint="eastAsia" w:ascii="宋体" w:hAnsi="宋体" w:eastAsia="宋体" w:cs="宋体"/>
          <w:spacing w:val="9"/>
          <w:sz w:val="21"/>
          <w:szCs w:val="21"/>
          <w:lang w:eastAsia="zh-CN"/>
        </w:rPr>
        <w:t>执行。</w:t>
      </w:r>
    </w:p>
    <w:p w14:paraId="78BA6267">
      <w:pPr>
        <w:pStyle w:val="5"/>
        <w:numPr>
          <w:ilvl w:val="1"/>
          <w:numId w:val="1"/>
        </w:numPr>
        <w:spacing w:before="265" w:line="360" w:lineRule="auto"/>
        <w:outlineLvl w:val="0"/>
        <w:rPr>
          <w:rFonts w:hint="eastAsia"/>
          <w:spacing w:val="7"/>
          <w:sz w:val="20"/>
          <w:szCs w:val="20"/>
          <w:lang w:eastAsia="zh-CN"/>
        </w:rPr>
      </w:pPr>
      <w:bookmarkStart w:id="30" w:name="_Toc215049686"/>
      <w:bookmarkStart w:id="31" w:name="_Toc215049726"/>
      <w:r>
        <w:rPr>
          <w:rFonts w:hint="eastAsia"/>
          <w:spacing w:val="7"/>
          <w:sz w:val="20"/>
          <w:szCs w:val="20"/>
          <w:lang w:eastAsia="zh-CN"/>
        </w:rPr>
        <w:t>安全性评估</w:t>
      </w:r>
      <w:bookmarkEnd w:id="30"/>
      <w:bookmarkEnd w:id="31"/>
    </w:p>
    <w:p w14:paraId="215DFAC9">
      <w:pPr>
        <w:pStyle w:val="5"/>
        <w:spacing w:before="265" w:line="360" w:lineRule="auto"/>
        <w:outlineLvl w:val="0"/>
        <w:rPr>
          <w:rFonts w:hint="eastAsia"/>
          <w:spacing w:val="7"/>
          <w:sz w:val="20"/>
          <w:szCs w:val="20"/>
          <w:lang w:eastAsia="zh-CN"/>
        </w:rPr>
      </w:pPr>
      <w:bookmarkStart w:id="32" w:name="_Toc215049687"/>
      <w:bookmarkStart w:id="33" w:name="_Toc215049727"/>
      <w:r>
        <w:rPr>
          <w:spacing w:val="7"/>
          <w:sz w:val="20"/>
          <w:szCs w:val="20"/>
          <w:lang w:eastAsia="zh-CN"/>
        </w:rPr>
        <w:t xml:space="preserve">5.2.1 </w:t>
      </w:r>
      <w:r>
        <w:rPr>
          <w:rFonts w:hint="eastAsia"/>
          <w:spacing w:val="7"/>
          <w:sz w:val="20"/>
          <w:szCs w:val="20"/>
          <w:lang w:eastAsia="zh-CN"/>
        </w:rPr>
        <w:t>临床检查</w:t>
      </w:r>
      <w:bookmarkEnd w:id="32"/>
      <w:bookmarkEnd w:id="33"/>
    </w:p>
    <w:p w14:paraId="3F546C21">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每次随访建议记录以下内容：</w:t>
      </w:r>
      <w:r>
        <w:rPr>
          <w:rFonts w:ascii="宋体" w:hAnsi="宋体" w:eastAsia="宋体" w:cs="宋体"/>
          <w:spacing w:val="9"/>
          <w:sz w:val="21"/>
          <w:szCs w:val="21"/>
          <w:lang w:eastAsia="zh-CN"/>
        </w:rPr>
        <w:t xml:space="preserve"> </w:t>
      </w:r>
    </w:p>
    <w:p w14:paraId="3548C782">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感染（红肿热痛、脓性分泌物）；</w:t>
      </w:r>
      <w:r>
        <w:rPr>
          <w:rFonts w:ascii="宋体" w:hAnsi="宋体" w:eastAsia="宋体" w:cs="宋体"/>
          <w:spacing w:val="9"/>
          <w:sz w:val="21"/>
          <w:szCs w:val="21"/>
          <w:lang w:eastAsia="zh-CN"/>
        </w:rPr>
        <w:t xml:space="preserve"> </w:t>
      </w:r>
    </w:p>
    <w:p w14:paraId="4B75E99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移植物移位</w:t>
      </w:r>
      <w:r>
        <w:rPr>
          <w:rFonts w:ascii="宋体" w:hAnsi="宋体" w:eastAsia="宋体" w:cs="宋体"/>
          <w:spacing w:val="9"/>
          <w:sz w:val="21"/>
          <w:szCs w:val="21"/>
          <w:lang w:eastAsia="zh-CN"/>
        </w:rPr>
        <w:t>/</w:t>
      </w:r>
      <w:r>
        <w:rPr>
          <w:rFonts w:hint="eastAsia" w:ascii="宋体" w:hAnsi="宋体" w:eastAsia="宋体" w:cs="宋体"/>
          <w:spacing w:val="9"/>
          <w:sz w:val="21"/>
          <w:szCs w:val="21"/>
          <w:lang w:eastAsia="zh-CN"/>
        </w:rPr>
        <w:t>变形（与术后即刻照片对比）；</w:t>
      </w:r>
    </w:p>
    <w:p w14:paraId="05A2217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c) </w:t>
      </w:r>
      <w:r>
        <w:rPr>
          <w:rFonts w:hint="eastAsia" w:ascii="宋体" w:hAnsi="宋体" w:eastAsia="宋体" w:cs="宋体"/>
          <w:spacing w:val="9"/>
          <w:sz w:val="21"/>
          <w:szCs w:val="21"/>
          <w:lang w:eastAsia="zh-CN"/>
        </w:rPr>
        <w:t>皮肤破溃（有无穿孔、坏死）；</w:t>
      </w:r>
    </w:p>
    <w:p w14:paraId="2D6AC41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d) </w:t>
      </w:r>
      <w:r>
        <w:rPr>
          <w:rFonts w:hint="eastAsia" w:ascii="宋体" w:hAnsi="宋体" w:eastAsia="宋体" w:cs="宋体"/>
          <w:spacing w:val="9"/>
          <w:sz w:val="21"/>
          <w:szCs w:val="21"/>
          <w:lang w:eastAsia="zh-CN"/>
        </w:rPr>
        <w:t>疼痛（采用视觉模拟评分法</w:t>
      </w:r>
      <w:r>
        <w:rPr>
          <w:rFonts w:ascii="宋体" w:hAnsi="宋体" w:eastAsia="宋体" w:cs="宋体"/>
          <w:spacing w:val="9"/>
          <w:sz w:val="21"/>
          <w:szCs w:val="21"/>
          <w:lang w:eastAsia="zh-CN"/>
        </w:rPr>
        <w:t>VAS</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0-10</w:t>
      </w:r>
      <w:r>
        <w:rPr>
          <w:rFonts w:hint="eastAsia" w:ascii="宋体" w:hAnsi="宋体" w:eastAsia="宋体" w:cs="宋体"/>
          <w:spacing w:val="9"/>
          <w:sz w:val="21"/>
          <w:szCs w:val="21"/>
          <w:lang w:eastAsia="zh-CN"/>
        </w:rPr>
        <w:t>分）。</w:t>
      </w:r>
    </w:p>
    <w:p w14:paraId="73F2773B">
      <w:pPr>
        <w:pStyle w:val="5"/>
        <w:spacing w:before="265" w:line="360" w:lineRule="auto"/>
        <w:outlineLvl w:val="0"/>
        <w:rPr>
          <w:rFonts w:hint="eastAsia"/>
          <w:spacing w:val="7"/>
          <w:sz w:val="20"/>
          <w:szCs w:val="20"/>
          <w:lang w:eastAsia="zh-CN"/>
        </w:rPr>
      </w:pPr>
      <w:bookmarkStart w:id="34" w:name="_Toc215049728"/>
      <w:r>
        <w:rPr>
          <w:spacing w:val="7"/>
          <w:sz w:val="20"/>
          <w:szCs w:val="20"/>
          <w:lang w:eastAsia="zh-CN"/>
        </w:rPr>
        <w:t xml:space="preserve">5.2.2 </w:t>
      </w:r>
      <w:r>
        <w:rPr>
          <w:rFonts w:hint="eastAsia"/>
          <w:spacing w:val="7"/>
          <w:sz w:val="20"/>
          <w:szCs w:val="20"/>
          <w:lang w:eastAsia="zh-CN"/>
        </w:rPr>
        <w:t>影像学监测</w:t>
      </w:r>
      <w:bookmarkEnd w:id="34"/>
    </w:p>
    <w:p w14:paraId="6BB28638">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a) 扫描方法</w:t>
      </w:r>
    </w:p>
    <w:p w14:paraId="3AD3F626">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与 5.1.1 磁共振（MRI）扫描要求保持一致：采用 3.0 T MRI 设备，选用 FS-T2WI（脂肪抑制 T2 加权成像）、3D-GRE（三维梯度回波）及 T2 mapping 序列（补充 T2 mapping 以匹配 “水含量、胶原及 GAG 趋势” 评估需求）；扫描参数统一为：层厚≤1.0 mm，层间距≤0.5 mm，矩阵≥256×256，FOV（视野）160-200 mm（根据移植部位调整，耳廓 / 鼻部可缩小至 140-180 mm），患者体位及固定要求同 5.1.1。</w:t>
      </w:r>
    </w:p>
    <w:p w14:paraId="7096E78B">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b) 评估内容</w:t>
      </w:r>
    </w:p>
    <w:p w14:paraId="683DB43B">
      <w:pPr>
        <w:numPr>
          <w:ilvl w:val="0"/>
          <w:numId w:val="2"/>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信号一致性：植入区软骨信号强度（以 FS-T2WI 序列灰度值为基准）与</w:t>
      </w:r>
      <w:r>
        <w:rPr>
          <w:rFonts w:ascii="宋体" w:hAnsi="宋体" w:eastAsia="宋体" w:cs="宋体"/>
          <w:b/>
          <w:bCs/>
          <w:spacing w:val="9"/>
          <w:sz w:val="21"/>
          <w:szCs w:val="21"/>
          <w:lang w:eastAsia="zh-CN"/>
        </w:rPr>
        <w:t>同侧邻近正常软骨</w:t>
      </w:r>
      <w:r>
        <w:rPr>
          <w:rFonts w:ascii="宋体" w:hAnsi="宋体" w:eastAsia="宋体" w:cs="宋体"/>
          <w:spacing w:val="9"/>
          <w:sz w:val="21"/>
          <w:szCs w:val="21"/>
          <w:lang w:eastAsia="zh-CN"/>
        </w:rPr>
        <w:t>（如鼻部参考鼻中隔软骨、耳部参考对侧健康耳廓软骨）差异≤±20%；</w:t>
      </w:r>
    </w:p>
    <w:p w14:paraId="22383BA3">
      <w:pPr>
        <w:numPr>
          <w:ilvl w:val="0"/>
          <w:numId w:val="2"/>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无异常高信号：FS-T2WI 序列中，植入区及周边 2 cm 范围内无局灶性高信号（信号值＞正常软骨信号值 + 30%），排除水肿、炎症或积液；</w:t>
      </w:r>
    </w:p>
    <w:p w14:paraId="6254ADE3">
      <w:pPr>
        <w:numPr>
          <w:ilvl w:val="0"/>
          <w:numId w:val="2"/>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无异常低信号：3D-GRE 序列中，植入区无局灶性低信号（信号值＜正常软骨信号值 - 30%），排除纤维化、钙化或坏死；</w:t>
      </w:r>
    </w:p>
    <w:p w14:paraId="659FB6DA">
      <w:pPr>
        <w:numPr>
          <w:ilvl w:val="0"/>
          <w:numId w:val="2"/>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体积稳定性：采用 5.1.1 附录 A 规定的 MRI 体积测量方法，单次随访周期内（如术后 3 个月至 6 个月）植入物体积变化≤±10%；</w:t>
      </w:r>
    </w:p>
    <w:p w14:paraId="3B36BDC9">
      <w:pPr>
        <w:numPr>
          <w:ilvl w:val="0"/>
          <w:numId w:val="2"/>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基质指标趋势：通过 T2 mapping 序列定量分析，植入区 T2 值均值与同侧正常软骨 T2 值差值≤</w:t>
      </w:r>
      <w:r>
        <w:rPr>
          <w:rFonts w:hint="eastAsia" w:ascii="宋体" w:hAnsi="宋体" w:eastAsia="宋体" w:cs="宋体"/>
          <w:spacing w:val="9"/>
          <w:sz w:val="21"/>
          <w:szCs w:val="21"/>
          <w:lang w:eastAsia="zh-CN"/>
        </w:rPr>
        <w:t>2</w:t>
      </w:r>
      <w:r>
        <w:rPr>
          <w:rFonts w:ascii="宋体" w:hAnsi="宋体" w:eastAsia="宋体" w:cs="宋体"/>
          <w:spacing w:val="9"/>
          <w:sz w:val="21"/>
          <w:szCs w:val="21"/>
          <w:lang w:eastAsia="zh-CN"/>
        </w:rPr>
        <w:t>0 ms，提示软骨水含量、Ⅱ 型胶原及糖胺聚糖（GAG）无显著降解或异常堆积。</w:t>
      </w:r>
    </w:p>
    <w:p w14:paraId="3E1B93C6">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c) 判定标准</w:t>
      </w:r>
    </w:p>
    <w:p w14:paraId="4300DEE8">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满足上述 b) 1-b) 5 项要求时，视为 “MRI 影像无信号异常”；若任一项目不达标，需记录异常位置（精确至毫米）、范围（体积占比）及信号特征，由 2 名影像科医师独立复核（复核流程同 8.2 质量控制要求），仍存疑时启动多学科协作评估（参照 7.3）。</w:t>
      </w:r>
    </w:p>
    <w:p w14:paraId="227FDA9C">
      <w:pPr>
        <w:spacing w:before="23" w:line="360" w:lineRule="auto"/>
        <w:ind w:right="58"/>
        <w:rPr>
          <w:rFonts w:hint="eastAsia" w:ascii="宋体" w:hAnsi="宋体" w:eastAsia="宋体" w:cs="宋体"/>
          <w:spacing w:val="9"/>
          <w:sz w:val="20"/>
          <w:szCs w:val="20"/>
          <w:lang w:eastAsia="zh-CN"/>
        </w:rPr>
      </w:pPr>
    </w:p>
    <w:p w14:paraId="023EDFBA">
      <w:pPr>
        <w:pStyle w:val="5"/>
        <w:numPr>
          <w:ilvl w:val="1"/>
          <w:numId w:val="1"/>
        </w:numPr>
        <w:spacing w:before="265" w:line="360" w:lineRule="auto"/>
        <w:outlineLvl w:val="0"/>
        <w:rPr>
          <w:rFonts w:hint="eastAsia"/>
          <w:spacing w:val="7"/>
          <w:sz w:val="20"/>
          <w:szCs w:val="20"/>
          <w:lang w:eastAsia="zh-CN"/>
        </w:rPr>
      </w:pPr>
      <w:bookmarkStart w:id="35" w:name="_Toc215049729"/>
      <w:r>
        <w:rPr>
          <w:rFonts w:hint="eastAsia"/>
          <w:spacing w:val="7"/>
          <w:sz w:val="20"/>
          <w:szCs w:val="20"/>
          <w:lang w:eastAsia="zh-CN"/>
        </w:rPr>
        <w:t>功能与患者报告结局</w:t>
      </w:r>
      <w:bookmarkEnd w:id="35"/>
    </w:p>
    <w:p w14:paraId="411998F8">
      <w:pPr>
        <w:pStyle w:val="5"/>
        <w:spacing w:before="265" w:line="360" w:lineRule="auto"/>
        <w:outlineLvl w:val="0"/>
        <w:rPr>
          <w:rFonts w:hint="eastAsia"/>
          <w:spacing w:val="7"/>
          <w:sz w:val="20"/>
          <w:szCs w:val="20"/>
          <w:lang w:eastAsia="zh-CN"/>
        </w:rPr>
      </w:pPr>
      <w:bookmarkStart w:id="36" w:name="_Toc215049730"/>
      <w:r>
        <w:rPr>
          <w:spacing w:val="7"/>
          <w:sz w:val="20"/>
          <w:szCs w:val="20"/>
          <w:lang w:eastAsia="zh-CN"/>
        </w:rPr>
        <w:t xml:space="preserve">5.3.1 </w:t>
      </w:r>
      <w:r>
        <w:rPr>
          <w:rFonts w:hint="eastAsia"/>
          <w:spacing w:val="7"/>
          <w:sz w:val="20"/>
          <w:szCs w:val="20"/>
          <w:lang w:eastAsia="zh-CN"/>
        </w:rPr>
        <w:t>部位特异性功能评估</w:t>
      </w:r>
      <w:bookmarkEnd w:id="36"/>
    </w:p>
    <w:p w14:paraId="0E0E36F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鼻部移植患者：</w:t>
      </w:r>
    </w:p>
    <w:p w14:paraId="52607109">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鼻通气功能：采用主观</w:t>
      </w:r>
      <w:r>
        <w:rPr>
          <w:rFonts w:ascii="宋体" w:hAnsi="宋体" w:eastAsia="宋体" w:cs="宋体"/>
          <w:spacing w:val="9"/>
          <w:sz w:val="21"/>
          <w:szCs w:val="21"/>
          <w:lang w:eastAsia="zh-CN"/>
        </w:rPr>
        <w:t>VAS</w:t>
      </w:r>
      <w:r>
        <w:rPr>
          <w:rFonts w:hint="eastAsia" w:ascii="宋体" w:hAnsi="宋体" w:eastAsia="宋体" w:cs="宋体"/>
          <w:spacing w:val="9"/>
          <w:sz w:val="21"/>
          <w:szCs w:val="21"/>
          <w:lang w:eastAsia="zh-CN"/>
        </w:rPr>
        <w:t>评分（</w:t>
      </w:r>
      <w:r>
        <w:rPr>
          <w:rFonts w:ascii="宋体" w:hAnsi="宋体" w:eastAsia="宋体" w:cs="宋体"/>
          <w:spacing w:val="9"/>
          <w:sz w:val="21"/>
          <w:szCs w:val="21"/>
          <w:lang w:eastAsia="zh-CN"/>
        </w:rPr>
        <w:t>0-10</w:t>
      </w:r>
      <w:r>
        <w:rPr>
          <w:rFonts w:hint="eastAsia" w:ascii="宋体" w:hAnsi="宋体" w:eastAsia="宋体" w:cs="宋体"/>
          <w:spacing w:val="9"/>
          <w:sz w:val="21"/>
          <w:szCs w:val="21"/>
          <w:lang w:eastAsia="zh-CN"/>
        </w:rPr>
        <w:t>分）或鼻阻力计测量（单位：</w:t>
      </w:r>
      <w:r>
        <w:rPr>
          <w:rFonts w:ascii="宋体" w:hAnsi="宋体" w:eastAsia="宋体" w:cs="宋体"/>
          <w:spacing w:val="9"/>
          <w:sz w:val="21"/>
          <w:szCs w:val="21"/>
          <w:lang w:eastAsia="zh-CN"/>
        </w:rPr>
        <w:t>Pa</w:t>
      </w:r>
      <w:r>
        <w:rPr>
          <w:rFonts w:hint="eastAsia" w:ascii="宋体" w:hAnsi="宋体" w:eastAsia="宋体" w:cs="宋体"/>
          <w:spacing w:val="9"/>
          <w:sz w:val="21"/>
          <w:szCs w:val="21"/>
          <w:lang w:eastAsia="zh-CN"/>
        </w:rPr>
        <w:t>·s</w:t>
      </w:r>
      <w:r>
        <w:rPr>
          <w:rFonts w:ascii="宋体" w:hAnsi="宋体" w:eastAsia="宋体" w:cs="宋体"/>
          <w:spacing w:val="9"/>
          <w:sz w:val="21"/>
          <w:szCs w:val="21"/>
          <w:lang w:eastAsia="zh-CN"/>
        </w:rPr>
        <w:t>/cm³</w:t>
      </w:r>
      <w:r>
        <w:rPr>
          <w:rFonts w:hint="eastAsia" w:ascii="宋体" w:hAnsi="宋体" w:eastAsia="宋体" w:cs="宋体"/>
          <w:spacing w:val="9"/>
          <w:sz w:val="21"/>
          <w:szCs w:val="21"/>
          <w:lang w:eastAsia="zh-CN"/>
        </w:rPr>
        <w:t>）；</w:t>
      </w:r>
    </w:p>
    <w:p w14:paraId="4860FFBF">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鼻阀稳定性：深吸气时鼻阀塌陷宽度测量。</w:t>
      </w:r>
      <w:r>
        <w:rPr>
          <w:rFonts w:ascii="宋体" w:hAnsi="宋体" w:eastAsia="宋体" w:cs="宋体"/>
          <w:spacing w:val="9"/>
          <w:sz w:val="21"/>
          <w:szCs w:val="21"/>
          <w:lang w:eastAsia="zh-CN"/>
        </w:rPr>
        <w:t xml:space="preserve"> </w:t>
      </w:r>
    </w:p>
    <w:p w14:paraId="58DD3A0A">
      <w:pPr>
        <w:spacing w:before="23" w:line="360" w:lineRule="auto"/>
        <w:ind w:left="11" w:right="58" w:firstLine="417"/>
        <w:rPr>
          <w:rFonts w:hint="eastAsia" w:ascii="宋体" w:hAnsi="宋体" w:eastAsia="宋体" w:cs="宋体"/>
          <w:spacing w:val="9"/>
          <w:sz w:val="22"/>
          <w:szCs w:val="22"/>
          <w:lang w:eastAsia="zh-CN"/>
        </w:rPr>
      </w:pPr>
      <w:r>
        <w:rPr>
          <w:rFonts w:ascii="宋体" w:hAnsi="宋体" w:eastAsia="宋体" w:cs="宋体"/>
          <w:spacing w:val="9"/>
          <w:sz w:val="22"/>
          <w:szCs w:val="22"/>
          <w:lang w:eastAsia="zh-CN"/>
        </w:rPr>
        <w:t xml:space="preserve">b) </w:t>
      </w:r>
      <w:r>
        <w:rPr>
          <w:rFonts w:hint="eastAsia" w:ascii="宋体" w:hAnsi="宋体" w:eastAsia="宋体" w:cs="宋体"/>
          <w:spacing w:val="9"/>
          <w:sz w:val="22"/>
          <w:szCs w:val="22"/>
          <w:lang w:eastAsia="zh-CN"/>
        </w:rPr>
        <w:t>耳部移植患者：</w:t>
      </w:r>
    </w:p>
    <w:p w14:paraId="3A086E52">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佩戴眼镜稳定性：</w:t>
      </w:r>
      <w:r>
        <w:rPr>
          <w:rFonts w:ascii="宋体" w:hAnsi="宋体" w:eastAsia="宋体" w:cs="宋体"/>
          <w:spacing w:val="9"/>
          <w:sz w:val="21"/>
          <w:szCs w:val="21"/>
          <w:lang w:eastAsia="zh-CN"/>
        </w:rPr>
        <w:t>VAS</w:t>
      </w:r>
      <w:r>
        <w:rPr>
          <w:rFonts w:hint="eastAsia" w:ascii="宋体" w:hAnsi="宋体" w:eastAsia="宋体" w:cs="宋体"/>
          <w:spacing w:val="9"/>
          <w:sz w:val="21"/>
          <w:szCs w:val="21"/>
          <w:lang w:eastAsia="zh-CN"/>
        </w:rPr>
        <w:t>评分（</w:t>
      </w:r>
      <w:r>
        <w:rPr>
          <w:rFonts w:ascii="宋体" w:hAnsi="宋体" w:eastAsia="宋体" w:cs="宋体"/>
          <w:spacing w:val="9"/>
          <w:sz w:val="21"/>
          <w:szCs w:val="21"/>
          <w:lang w:eastAsia="zh-CN"/>
        </w:rPr>
        <w:t>0-10</w:t>
      </w:r>
      <w:r>
        <w:rPr>
          <w:rFonts w:hint="eastAsia" w:ascii="宋体" w:hAnsi="宋体" w:eastAsia="宋体" w:cs="宋体"/>
          <w:spacing w:val="9"/>
          <w:sz w:val="21"/>
          <w:szCs w:val="21"/>
          <w:lang w:eastAsia="zh-CN"/>
        </w:rPr>
        <w:t>分，</w:t>
      </w:r>
      <w:r>
        <w:rPr>
          <w:rFonts w:ascii="宋体" w:hAnsi="宋体" w:eastAsia="宋体" w:cs="宋体"/>
          <w:spacing w:val="9"/>
          <w:sz w:val="21"/>
          <w:szCs w:val="21"/>
          <w:lang w:eastAsia="zh-CN"/>
        </w:rPr>
        <w:t>0=</w:t>
      </w:r>
      <w:r>
        <w:rPr>
          <w:rFonts w:hint="eastAsia" w:ascii="宋体" w:hAnsi="宋体" w:eastAsia="宋体" w:cs="宋体"/>
          <w:spacing w:val="9"/>
          <w:sz w:val="21"/>
          <w:szCs w:val="21"/>
          <w:lang w:eastAsia="zh-CN"/>
        </w:rPr>
        <w:t>完全稳定）；</w:t>
      </w:r>
    </w:p>
    <w:p w14:paraId="707D0DB6">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耳廓形态稳定性：通过</w:t>
      </w:r>
      <w:r>
        <w:rPr>
          <w:rFonts w:ascii="宋体" w:hAnsi="宋体" w:eastAsia="宋体" w:cs="宋体"/>
          <w:spacing w:val="9"/>
          <w:sz w:val="21"/>
          <w:szCs w:val="21"/>
          <w:lang w:eastAsia="zh-CN"/>
        </w:rPr>
        <w:t>3D</w:t>
      </w:r>
      <w:r>
        <w:rPr>
          <w:rFonts w:hint="eastAsia" w:ascii="宋体" w:hAnsi="宋体" w:eastAsia="宋体" w:cs="宋体"/>
          <w:spacing w:val="9"/>
          <w:sz w:val="21"/>
          <w:szCs w:val="21"/>
          <w:lang w:eastAsia="zh-CN"/>
        </w:rPr>
        <w:t>扫描动态变形分析评估。</w:t>
      </w:r>
    </w:p>
    <w:p w14:paraId="0883FBBA">
      <w:pPr>
        <w:pStyle w:val="5"/>
        <w:spacing w:before="265" w:line="360" w:lineRule="auto"/>
        <w:outlineLvl w:val="0"/>
        <w:rPr>
          <w:rFonts w:hint="eastAsia"/>
          <w:spacing w:val="7"/>
          <w:sz w:val="20"/>
          <w:szCs w:val="20"/>
          <w:lang w:eastAsia="zh-CN"/>
        </w:rPr>
      </w:pPr>
      <w:bookmarkStart w:id="37" w:name="_Toc215049731"/>
      <w:r>
        <w:rPr>
          <w:spacing w:val="7"/>
          <w:sz w:val="20"/>
          <w:szCs w:val="20"/>
          <w:lang w:eastAsia="zh-CN"/>
        </w:rPr>
        <w:t xml:space="preserve">5.3.2 </w:t>
      </w:r>
      <w:r>
        <w:rPr>
          <w:rFonts w:hint="eastAsia"/>
          <w:spacing w:val="7"/>
          <w:sz w:val="20"/>
          <w:szCs w:val="20"/>
          <w:lang w:eastAsia="zh-CN"/>
        </w:rPr>
        <w:t>患者报告结局</w:t>
      </w:r>
      <w:bookmarkEnd w:id="37"/>
    </w:p>
    <w:p w14:paraId="4B8F65F8">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应采用</w:t>
      </w:r>
      <w:r>
        <w:rPr>
          <w:rFonts w:ascii="宋体" w:hAnsi="宋体" w:eastAsia="宋体" w:cs="宋体"/>
          <w:spacing w:val="9"/>
          <w:sz w:val="21"/>
          <w:szCs w:val="21"/>
          <w:lang w:eastAsia="zh-CN"/>
        </w:rPr>
        <w:t>FACE-Q</w:t>
      </w:r>
      <w:r>
        <w:rPr>
          <w:rFonts w:hint="eastAsia" w:ascii="宋体" w:hAnsi="宋体" w:eastAsia="宋体" w:cs="宋体"/>
          <w:spacing w:val="9"/>
          <w:sz w:val="21"/>
          <w:szCs w:val="21"/>
          <w:lang w:eastAsia="zh-CN"/>
        </w:rPr>
        <w:t>量表评估，至少包含：：对面部外观、心理社会功能及生活质量三个模块。</w:t>
      </w:r>
    </w:p>
    <w:p w14:paraId="7853B2CC">
      <w:pPr>
        <w:spacing w:before="23" w:line="360" w:lineRule="auto"/>
        <w:ind w:right="58"/>
        <w:rPr>
          <w:rFonts w:hint="eastAsia" w:ascii="宋体" w:hAnsi="宋体" w:eastAsia="宋体" w:cs="宋体"/>
          <w:spacing w:val="9"/>
          <w:sz w:val="20"/>
          <w:szCs w:val="20"/>
          <w:lang w:eastAsia="zh-CN"/>
        </w:rPr>
      </w:pPr>
    </w:p>
    <w:p w14:paraId="3835AD23">
      <w:pPr>
        <w:pStyle w:val="5"/>
        <w:numPr>
          <w:ilvl w:val="1"/>
          <w:numId w:val="1"/>
        </w:numPr>
        <w:spacing w:before="265" w:line="360" w:lineRule="auto"/>
        <w:outlineLvl w:val="0"/>
        <w:rPr>
          <w:rFonts w:hint="eastAsia"/>
          <w:spacing w:val="7"/>
          <w:sz w:val="20"/>
          <w:szCs w:val="20"/>
          <w:lang w:eastAsia="zh-CN"/>
        </w:rPr>
      </w:pPr>
      <w:bookmarkStart w:id="38" w:name="_Toc215049732"/>
      <w:r>
        <w:rPr>
          <w:rFonts w:hint="eastAsia"/>
          <w:spacing w:val="7"/>
          <w:sz w:val="20"/>
          <w:szCs w:val="20"/>
          <w:lang w:eastAsia="zh-CN"/>
        </w:rPr>
        <w:t>部位特异性评估要求</w:t>
      </w:r>
      <w:bookmarkEnd w:id="38"/>
    </w:p>
    <w:p w14:paraId="7E3FD7C6">
      <w:pPr>
        <w:pStyle w:val="5"/>
        <w:spacing w:before="265" w:line="360" w:lineRule="auto"/>
        <w:outlineLvl w:val="0"/>
        <w:rPr>
          <w:rFonts w:hint="eastAsia"/>
          <w:spacing w:val="7"/>
          <w:sz w:val="20"/>
          <w:szCs w:val="20"/>
          <w:lang w:eastAsia="zh-CN"/>
        </w:rPr>
      </w:pPr>
      <w:bookmarkStart w:id="39" w:name="_Toc215049733"/>
      <w:r>
        <w:rPr>
          <w:spacing w:val="7"/>
          <w:sz w:val="20"/>
          <w:szCs w:val="20"/>
          <w:lang w:eastAsia="zh-CN"/>
        </w:rPr>
        <w:t xml:space="preserve">5.4.1 </w:t>
      </w:r>
      <w:r>
        <w:rPr>
          <w:rFonts w:hint="eastAsia"/>
          <w:spacing w:val="7"/>
          <w:sz w:val="20"/>
          <w:szCs w:val="20"/>
          <w:lang w:eastAsia="zh-CN"/>
        </w:rPr>
        <w:t>耳廓重建</w:t>
      </w:r>
      <w:bookmarkEnd w:id="39"/>
    </w:p>
    <w:p w14:paraId="745F8D38">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耳廓形态应稳定（通过</w:t>
      </w:r>
      <w:r>
        <w:rPr>
          <w:rFonts w:ascii="宋体" w:hAnsi="宋体" w:eastAsia="宋体" w:cs="宋体"/>
          <w:spacing w:val="9"/>
          <w:sz w:val="21"/>
          <w:szCs w:val="21"/>
          <w:lang w:eastAsia="zh-CN"/>
        </w:rPr>
        <w:t>3D</w:t>
      </w:r>
      <w:r>
        <w:rPr>
          <w:rFonts w:hint="eastAsia" w:ascii="宋体" w:hAnsi="宋体" w:eastAsia="宋体" w:cs="宋体"/>
          <w:spacing w:val="9"/>
          <w:sz w:val="21"/>
          <w:szCs w:val="21"/>
          <w:lang w:eastAsia="zh-CN"/>
        </w:rPr>
        <w:t>扫描变形分析间接评估）；</w:t>
      </w:r>
      <w:r>
        <w:rPr>
          <w:rFonts w:ascii="宋体" w:hAnsi="宋体" w:eastAsia="宋体" w:cs="宋体"/>
          <w:spacing w:val="9"/>
          <w:sz w:val="21"/>
          <w:szCs w:val="21"/>
          <w:lang w:eastAsia="zh-CN"/>
        </w:rPr>
        <w:t xml:space="preserve"> </w:t>
      </w:r>
    </w:p>
    <w:p w14:paraId="7245D2B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耳颅角应维持在</w:t>
      </w:r>
      <w:r>
        <w:rPr>
          <w:rFonts w:ascii="宋体" w:hAnsi="宋体" w:eastAsia="宋体" w:cs="宋体"/>
          <w:spacing w:val="9"/>
          <w:sz w:val="21"/>
          <w:szCs w:val="21"/>
          <w:lang w:eastAsia="zh-CN"/>
        </w:rPr>
        <w:t>25°-35°</w:t>
      </w:r>
      <w:r>
        <w:rPr>
          <w:rFonts w:hint="eastAsia" w:ascii="宋体" w:hAnsi="宋体" w:eastAsia="宋体" w:cs="宋体"/>
          <w:spacing w:val="9"/>
          <w:sz w:val="21"/>
          <w:szCs w:val="21"/>
          <w:lang w:eastAsia="zh-CN"/>
        </w:rPr>
        <w:t>。</w:t>
      </w:r>
    </w:p>
    <w:p w14:paraId="7BB2C120">
      <w:pPr>
        <w:pStyle w:val="5"/>
        <w:spacing w:before="265" w:line="360" w:lineRule="auto"/>
        <w:outlineLvl w:val="0"/>
        <w:rPr>
          <w:rFonts w:hint="eastAsia"/>
          <w:spacing w:val="7"/>
          <w:sz w:val="20"/>
          <w:szCs w:val="20"/>
          <w:lang w:eastAsia="zh-CN"/>
        </w:rPr>
      </w:pPr>
      <w:bookmarkStart w:id="40" w:name="_Toc215049734"/>
      <w:r>
        <w:rPr>
          <w:spacing w:val="7"/>
          <w:sz w:val="20"/>
          <w:szCs w:val="20"/>
          <w:lang w:eastAsia="zh-CN"/>
        </w:rPr>
        <w:t xml:space="preserve">5.4.2 </w:t>
      </w:r>
      <w:r>
        <w:rPr>
          <w:rFonts w:hint="eastAsia"/>
          <w:spacing w:val="7"/>
          <w:sz w:val="20"/>
          <w:szCs w:val="20"/>
          <w:lang w:eastAsia="zh-CN"/>
        </w:rPr>
        <w:t>鼻部重建</w:t>
      </w:r>
      <w:bookmarkEnd w:id="40"/>
    </w:p>
    <w:p w14:paraId="396B31CD">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鼻尖旋转角应维持在8</w:t>
      </w:r>
      <w:r>
        <w:rPr>
          <w:rFonts w:ascii="宋体" w:hAnsi="宋体" w:eastAsia="宋体" w:cs="宋体"/>
          <w:spacing w:val="9"/>
          <w:sz w:val="21"/>
          <w:szCs w:val="21"/>
          <w:lang w:eastAsia="zh-CN"/>
        </w:rPr>
        <w:t>5°-115°</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3690CD06">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鼻唇角应维持在</w:t>
      </w:r>
      <w:r>
        <w:rPr>
          <w:rFonts w:ascii="宋体" w:hAnsi="宋体" w:eastAsia="宋体" w:cs="宋体"/>
          <w:spacing w:val="9"/>
          <w:sz w:val="21"/>
          <w:szCs w:val="21"/>
          <w:lang w:eastAsia="zh-CN"/>
        </w:rPr>
        <w:t>90°-1</w:t>
      </w:r>
      <w:r>
        <w:rPr>
          <w:rFonts w:hint="eastAsia" w:ascii="宋体" w:hAnsi="宋体" w:eastAsia="宋体" w:cs="宋体"/>
          <w:spacing w:val="9"/>
          <w:sz w:val="21"/>
          <w:szCs w:val="21"/>
          <w:lang w:eastAsia="zh-CN"/>
        </w:rPr>
        <w:t>10</w:t>
      </w:r>
      <w:r>
        <w:rPr>
          <w:rFonts w:ascii="宋体" w:hAnsi="宋体" w:eastAsia="宋体" w:cs="宋体"/>
          <w:spacing w:val="9"/>
          <w:sz w:val="21"/>
          <w:szCs w:val="21"/>
          <w:lang w:eastAsia="zh-CN"/>
        </w:rPr>
        <w:t>°</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360D32D0">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c) </w:t>
      </w:r>
      <w:r>
        <w:rPr>
          <w:rFonts w:hint="eastAsia" w:ascii="宋体" w:hAnsi="宋体" w:eastAsia="宋体" w:cs="宋体"/>
          <w:spacing w:val="9"/>
          <w:sz w:val="21"/>
          <w:szCs w:val="21"/>
          <w:lang w:eastAsia="zh-CN"/>
        </w:rPr>
        <w:t>深吸气时鼻阀塌陷宽度应＜</w:t>
      </w:r>
      <w:r>
        <w:rPr>
          <w:rFonts w:ascii="宋体" w:hAnsi="宋体" w:eastAsia="宋体" w:cs="宋体"/>
          <w:spacing w:val="9"/>
          <w:sz w:val="21"/>
          <w:szCs w:val="21"/>
          <w:lang w:eastAsia="zh-CN"/>
        </w:rPr>
        <w:t>2 mm</w:t>
      </w:r>
      <w:r>
        <w:rPr>
          <w:rFonts w:hint="eastAsia" w:ascii="宋体" w:hAnsi="宋体" w:eastAsia="宋体" w:cs="宋体"/>
          <w:spacing w:val="9"/>
          <w:sz w:val="21"/>
          <w:szCs w:val="21"/>
          <w:lang w:eastAsia="zh-CN"/>
        </w:rPr>
        <w:t>。</w:t>
      </w:r>
    </w:p>
    <w:p w14:paraId="0CE11876">
      <w:pPr>
        <w:spacing w:before="23" w:line="360" w:lineRule="auto"/>
        <w:ind w:right="58"/>
        <w:rPr>
          <w:rFonts w:hint="eastAsia" w:ascii="宋体" w:hAnsi="宋体" w:eastAsia="宋体" w:cs="宋体"/>
          <w:spacing w:val="9"/>
          <w:sz w:val="21"/>
          <w:szCs w:val="21"/>
          <w:lang w:eastAsia="zh-CN"/>
        </w:rPr>
      </w:pPr>
    </w:p>
    <w:p w14:paraId="33631FE4">
      <w:pPr>
        <w:pStyle w:val="5"/>
        <w:numPr>
          <w:ilvl w:val="0"/>
          <w:numId w:val="1"/>
        </w:numPr>
        <w:spacing w:before="265" w:line="360" w:lineRule="auto"/>
        <w:outlineLvl w:val="0"/>
        <w:rPr>
          <w:rFonts w:hint="eastAsia"/>
          <w:spacing w:val="7"/>
          <w:sz w:val="20"/>
          <w:szCs w:val="20"/>
          <w:lang w:eastAsia="zh-CN"/>
        </w:rPr>
      </w:pPr>
      <w:bookmarkStart w:id="41" w:name="_Toc215049735"/>
      <w:r>
        <w:rPr>
          <w:rFonts w:hint="eastAsia"/>
          <w:spacing w:val="7"/>
          <w:sz w:val="20"/>
          <w:szCs w:val="20"/>
          <w:lang w:eastAsia="zh-CN"/>
        </w:rPr>
        <w:t>评估指标与判定标准</w:t>
      </w:r>
      <w:bookmarkEnd w:id="41"/>
    </w:p>
    <w:p w14:paraId="7CCB4EDB">
      <w:pPr>
        <w:pStyle w:val="5"/>
        <w:numPr>
          <w:ilvl w:val="1"/>
          <w:numId w:val="1"/>
        </w:numPr>
        <w:spacing w:before="265" w:line="360" w:lineRule="auto"/>
        <w:outlineLvl w:val="0"/>
        <w:rPr>
          <w:rFonts w:hint="eastAsia"/>
          <w:spacing w:val="7"/>
          <w:sz w:val="20"/>
          <w:szCs w:val="20"/>
          <w:lang w:eastAsia="zh-CN"/>
        </w:rPr>
      </w:pPr>
      <w:bookmarkStart w:id="42" w:name="_Toc215049736"/>
      <w:r>
        <w:rPr>
          <w:rFonts w:hint="eastAsia"/>
          <w:spacing w:val="7"/>
          <w:sz w:val="20"/>
          <w:szCs w:val="20"/>
          <w:lang w:eastAsia="zh-CN"/>
        </w:rPr>
        <w:t>形态学指标</w:t>
      </w:r>
      <w:bookmarkEnd w:id="42"/>
    </w:p>
    <w:p w14:paraId="7653FC1A">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体积保持率</w:t>
      </w:r>
    </w:p>
    <w:p w14:paraId="37603E02">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短期评估（术后</w:t>
      </w:r>
      <w:r>
        <w:rPr>
          <w:rFonts w:ascii="宋体" w:hAnsi="宋体" w:eastAsia="宋体" w:cs="宋体"/>
          <w:spacing w:val="9"/>
          <w:sz w:val="21"/>
          <w:szCs w:val="21"/>
          <w:lang w:eastAsia="zh-CN"/>
        </w:rPr>
        <w:t xml:space="preserve"> 3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±7 </w:t>
      </w:r>
      <w:r>
        <w:rPr>
          <w:rFonts w:hint="eastAsia" w:ascii="宋体" w:hAnsi="宋体" w:eastAsia="宋体" w:cs="宋体"/>
          <w:spacing w:val="9"/>
          <w:sz w:val="21"/>
          <w:szCs w:val="21"/>
          <w:lang w:eastAsia="zh-CN"/>
        </w:rPr>
        <w:t>日）：≥</w:t>
      </w:r>
      <w:r>
        <w:rPr>
          <w:rFonts w:ascii="宋体" w:hAnsi="宋体" w:eastAsia="宋体" w:cs="宋体"/>
          <w:spacing w:val="9"/>
          <w:sz w:val="21"/>
          <w:szCs w:val="21"/>
          <w:lang w:eastAsia="zh-CN"/>
        </w:rPr>
        <w:t>90%</w:t>
      </w:r>
      <w:r>
        <w:rPr>
          <w:rFonts w:hint="eastAsia" w:ascii="宋体" w:hAnsi="宋体" w:eastAsia="宋体" w:cs="宋体"/>
          <w:spacing w:val="9"/>
          <w:sz w:val="21"/>
          <w:szCs w:val="21"/>
          <w:lang w:eastAsia="zh-CN"/>
        </w:rPr>
        <w:t>；</w:t>
      </w:r>
    </w:p>
    <w:p w14:paraId="02379890">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中期评估（术后</w:t>
      </w:r>
      <w:r>
        <w:rPr>
          <w:rFonts w:ascii="宋体" w:hAnsi="宋体" w:eastAsia="宋体" w:cs="宋体"/>
          <w:spacing w:val="9"/>
          <w:sz w:val="21"/>
          <w:szCs w:val="21"/>
          <w:lang w:eastAsia="zh-CN"/>
        </w:rPr>
        <w:t xml:space="preserve"> 12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±30 </w:t>
      </w:r>
      <w:r>
        <w:rPr>
          <w:rFonts w:hint="eastAsia" w:ascii="宋体" w:hAnsi="宋体" w:eastAsia="宋体" w:cs="宋体"/>
          <w:spacing w:val="9"/>
          <w:sz w:val="21"/>
          <w:szCs w:val="21"/>
          <w:lang w:eastAsia="zh-CN"/>
        </w:rPr>
        <w:t>日）：≥</w:t>
      </w:r>
      <w:r>
        <w:rPr>
          <w:rFonts w:ascii="宋体" w:hAnsi="宋体" w:eastAsia="宋体" w:cs="宋体"/>
          <w:spacing w:val="9"/>
          <w:sz w:val="21"/>
          <w:szCs w:val="21"/>
          <w:lang w:eastAsia="zh-CN"/>
        </w:rPr>
        <w:t>75%</w:t>
      </w:r>
      <w:r>
        <w:rPr>
          <w:rFonts w:hint="eastAsia" w:ascii="宋体" w:hAnsi="宋体" w:eastAsia="宋体" w:cs="宋体"/>
          <w:spacing w:val="9"/>
          <w:sz w:val="21"/>
          <w:szCs w:val="21"/>
          <w:lang w:eastAsia="zh-CN"/>
        </w:rPr>
        <w:t>；</w:t>
      </w:r>
    </w:p>
    <w:p w14:paraId="70851F67">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长期评估（术后</w:t>
      </w:r>
      <w:r>
        <w:rPr>
          <w:rFonts w:ascii="宋体" w:hAnsi="宋体" w:eastAsia="宋体" w:cs="宋体"/>
          <w:spacing w:val="9"/>
          <w:sz w:val="21"/>
          <w:szCs w:val="21"/>
          <w:lang w:eastAsia="zh-CN"/>
        </w:rPr>
        <w:t xml:space="preserve"> 24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±30 </w:t>
      </w:r>
      <w:r>
        <w:rPr>
          <w:rFonts w:hint="eastAsia" w:ascii="宋体" w:hAnsi="宋体" w:eastAsia="宋体" w:cs="宋体"/>
          <w:spacing w:val="9"/>
          <w:sz w:val="21"/>
          <w:szCs w:val="21"/>
          <w:lang w:eastAsia="zh-CN"/>
        </w:rPr>
        <w:t>日、</w:t>
      </w:r>
      <w:r>
        <w:rPr>
          <w:rFonts w:ascii="宋体" w:hAnsi="宋体" w:eastAsia="宋体" w:cs="宋体"/>
          <w:spacing w:val="9"/>
          <w:sz w:val="21"/>
          <w:szCs w:val="21"/>
          <w:lang w:eastAsia="zh-CN"/>
        </w:rPr>
        <w:t xml:space="preserve">60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 xml:space="preserve"> ±60 </w:t>
      </w:r>
      <w:r>
        <w:rPr>
          <w:rFonts w:hint="eastAsia" w:ascii="宋体" w:hAnsi="宋体" w:eastAsia="宋体" w:cs="宋体"/>
          <w:spacing w:val="9"/>
          <w:sz w:val="21"/>
          <w:szCs w:val="21"/>
          <w:lang w:eastAsia="zh-CN"/>
        </w:rPr>
        <w:t>日）：术后</w:t>
      </w:r>
      <w:r>
        <w:rPr>
          <w:rFonts w:ascii="宋体" w:hAnsi="宋体" w:eastAsia="宋体" w:cs="宋体"/>
          <w:spacing w:val="9"/>
          <w:sz w:val="21"/>
          <w:szCs w:val="21"/>
          <w:lang w:eastAsia="zh-CN"/>
        </w:rPr>
        <w:t xml:space="preserve"> 24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70%</w:t>
      </w:r>
      <w:r>
        <w:rPr>
          <w:rFonts w:hint="eastAsia" w:ascii="宋体" w:hAnsi="宋体" w:eastAsia="宋体" w:cs="宋体"/>
          <w:spacing w:val="9"/>
          <w:sz w:val="21"/>
          <w:szCs w:val="21"/>
          <w:lang w:eastAsia="zh-CN"/>
        </w:rPr>
        <w:t>，术后</w:t>
      </w:r>
      <w:r>
        <w:rPr>
          <w:rFonts w:ascii="宋体" w:hAnsi="宋体" w:eastAsia="宋体" w:cs="宋体"/>
          <w:spacing w:val="9"/>
          <w:sz w:val="21"/>
          <w:szCs w:val="21"/>
          <w:lang w:eastAsia="zh-CN"/>
        </w:rPr>
        <w:t xml:space="preserve"> 60 </w:t>
      </w:r>
      <w:r>
        <w:rPr>
          <w:rFonts w:hint="eastAsia" w:ascii="宋体" w:hAnsi="宋体" w:eastAsia="宋体" w:cs="宋体"/>
          <w:spacing w:val="9"/>
          <w:sz w:val="21"/>
          <w:szCs w:val="21"/>
          <w:lang w:eastAsia="zh-CN"/>
        </w:rPr>
        <w:t>个月≥</w:t>
      </w:r>
      <w:r>
        <w:rPr>
          <w:rFonts w:ascii="宋体" w:hAnsi="宋体" w:eastAsia="宋体" w:cs="宋体"/>
          <w:spacing w:val="9"/>
          <w:sz w:val="21"/>
          <w:szCs w:val="21"/>
          <w:lang w:eastAsia="zh-CN"/>
        </w:rPr>
        <w:t>65%</w:t>
      </w:r>
      <w:r>
        <w:rPr>
          <w:rFonts w:hint="eastAsia" w:ascii="宋体" w:hAnsi="宋体" w:eastAsia="宋体" w:cs="宋体"/>
          <w:spacing w:val="9"/>
          <w:sz w:val="21"/>
          <w:szCs w:val="21"/>
          <w:lang w:eastAsia="zh-CN"/>
        </w:rPr>
        <w:t>。</w:t>
      </w:r>
    </w:p>
    <w:p w14:paraId="1D2C1375">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对称性指数</w:t>
      </w:r>
    </w:p>
    <w:p w14:paraId="77BE017D">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耳廓重建：≥</w:t>
      </w:r>
      <w:r>
        <w:rPr>
          <w:rFonts w:ascii="宋体" w:hAnsi="宋体" w:eastAsia="宋体" w:cs="宋体"/>
          <w:spacing w:val="9"/>
          <w:sz w:val="21"/>
          <w:szCs w:val="21"/>
          <w:lang w:eastAsia="zh-CN"/>
        </w:rPr>
        <w:t>0.92</w:t>
      </w:r>
      <w:r>
        <w:rPr>
          <w:rFonts w:hint="eastAsia" w:ascii="宋体" w:hAnsi="宋体" w:eastAsia="宋体" w:cs="宋体"/>
          <w:spacing w:val="9"/>
          <w:sz w:val="21"/>
          <w:szCs w:val="21"/>
          <w:lang w:eastAsia="zh-CN"/>
        </w:rPr>
        <w:t>；</w:t>
      </w:r>
    </w:p>
    <w:p w14:paraId="11F2A13C">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鼻部重建：≥</w:t>
      </w:r>
      <w:r>
        <w:rPr>
          <w:rFonts w:ascii="宋体" w:hAnsi="宋体" w:eastAsia="宋体" w:cs="宋体"/>
          <w:spacing w:val="9"/>
          <w:sz w:val="21"/>
          <w:szCs w:val="21"/>
          <w:lang w:eastAsia="zh-CN"/>
        </w:rPr>
        <w:t>0.88</w:t>
      </w:r>
      <w:r>
        <w:rPr>
          <w:rFonts w:hint="eastAsia" w:ascii="宋体" w:hAnsi="宋体" w:eastAsia="宋体" w:cs="宋体"/>
          <w:spacing w:val="9"/>
          <w:sz w:val="21"/>
          <w:szCs w:val="21"/>
          <w:lang w:eastAsia="zh-CN"/>
        </w:rPr>
        <w:t>。</w:t>
      </w:r>
    </w:p>
    <w:p w14:paraId="2FE2FD8D">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c</w:t>
      </w:r>
      <w:r>
        <w:rPr>
          <w:rFonts w:ascii="宋体" w:hAnsi="宋体" w:eastAsia="宋体" w:cs="宋体"/>
          <w:spacing w:val="9"/>
          <w:sz w:val="21"/>
          <w:szCs w:val="21"/>
          <w:lang w:eastAsia="zh-CN"/>
        </w:rPr>
        <w:t xml:space="preserve">) </w:t>
      </w:r>
      <w:r>
        <w:rPr>
          <w:rFonts w:hint="eastAsia" w:ascii="宋体" w:hAnsi="宋体" w:eastAsia="宋体" w:cs="宋体"/>
          <w:spacing w:val="9"/>
          <w:sz w:val="21"/>
          <w:szCs w:val="21"/>
          <w:lang w:eastAsia="zh-CN"/>
        </w:rPr>
        <w:t>钙化</w:t>
      </w:r>
      <w:r>
        <w:rPr>
          <w:rFonts w:ascii="宋体" w:hAnsi="宋体" w:eastAsia="宋体" w:cs="宋体"/>
          <w:spacing w:val="9"/>
          <w:sz w:val="21"/>
          <w:szCs w:val="21"/>
          <w:lang w:eastAsia="zh-CN"/>
        </w:rPr>
        <w:t>/</w:t>
      </w:r>
      <w:r>
        <w:rPr>
          <w:rFonts w:hint="eastAsia" w:ascii="宋体" w:hAnsi="宋体" w:eastAsia="宋体" w:cs="宋体"/>
          <w:spacing w:val="9"/>
          <w:sz w:val="21"/>
          <w:szCs w:val="21"/>
          <w:lang w:eastAsia="zh-CN"/>
        </w:rPr>
        <w:t>骨化</w:t>
      </w:r>
    </w:p>
    <w:p w14:paraId="2C7A35E8">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术后</w:t>
      </w:r>
      <w:r>
        <w:rPr>
          <w:rFonts w:ascii="宋体" w:hAnsi="宋体" w:eastAsia="宋体" w:cs="宋体"/>
          <w:spacing w:val="9"/>
          <w:sz w:val="21"/>
          <w:szCs w:val="21"/>
          <w:lang w:eastAsia="zh-CN"/>
        </w:rPr>
        <w:t xml:space="preserve"> 60 </w:t>
      </w:r>
      <w:r>
        <w:rPr>
          <w:rFonts w:hint="eastAsia" w:ascii="宋体" w:hAnsi="宋体" w:eastAsia="宋体" w:cs="宋体"/>
          <w:spacing w:val="9"/>
          <w:sz w:val="21"/>
          <w:szCs w:val="21"/>
          <w:lang w:eastAsia="zh-CN"/>
        </w:rPr>
        <w:t>个月钙化</w:t>
      </w:r>
      <w:r>
        <w:rPr>
          <w:rFonts w:ascii="宋体" w:hAnsi="宋体" w:eastAsia="宋体" w:cs="宋体"/>
          <w:spacing w:val="9"/>
          <w:sz w:val="21"/>
          <w:szCs w:val="21"/>
          <w:lang w:eastAsia="zh-CN"/>
        </w:rPr>
        <w:t xml:space="preserve"> / </w:t>
      </w:r>
      <w:r>
        <w:rPr>
          <w:rFonts w:hint="eastAsia" w:ascii="宋体" w:hAnsi="宋体" w:eastAsia="宋体" w:cs="宋体"/>
          <w:spacing w:val="9"/>
          <w:sz w:val="21"/>
          <w:szCs w:val="21"/>
          <w:lang w:eastAsia="zh-CN"/>
        </w:rPr>
        <w:t>骨化区域占比应＜</w:t>
      </w:r>
      <w:r>
        <w:rPr>
          <w:rFonts w:ascii="宋体" w:hAnsi="宋体" w:eastAsia="宋体" w:cs="宋体"/>
          <w:spacing w:val="9"/>
          <w:sz w:val="21"/>
          <w:szCs w:val="21"/>
          <w:lang w:eastAsia="zh-CN"/>
        </w:rPr>
        <w:t>15%</w:t>
      </w:r>
      <w:r>
        <w:rPr>
          <w:rFonts w:hint="eastAsia" w:ascii="宋体" w:hAnsi="宋体" w:eastAsia="宋体" w:cs="宋体"/>
          <w:spacing w:val="9"/>
          <w:sz w:val="21"/>
          <w:szCs w:val="21"/>
          <w:lang w:eastAsia="zh-CN"/>
        </w:rPr>
        <w:t>。</w:t>
      </w:r>
    </w:p>
    <w:p w14:paraId="3AC8B583">
      <w:pPr>
        <w:pStyle w:val="5"/>
        <w:numPr>
          <w:ilvl w:val="1"/>
          <w:numId w:val="1"/>
        </w:numPr>
        <w:spacing w:before="265" w:line="360" w:lineRule="auto"/>
        <w:outlineLvl w:val="0"/>
        <w:rPr>
          <w:rFonts w:hint="eastAsia"/>
          <w:spacing w:val="7"/>
          <w:sz w:val="20"/>
          <w:szCs w:val="20"/>
          <w:lang w:eastAsia="zh-CN"/>
        </w:rPr>
      </w:pPr>
      <w:bookmarkStart w:id="43" w:name="_Toc215049737"/>
      <w:r>
        <w:rPr>
          <w:rFonts w:hint="eastAsia"/>
          <w:spacing w:val="7"/>
          <w:sz w:val="20"/>
          <w:szCs w:val="20"/>
          <w:lang w:eastAsia="zh-CN"/>
        </w:rPr>
        <w:t>安全性指标</w:t>
      </w:r>
      <w:bookmarkEnd w:id="43"/>
    </w:p>
    <w:p w14:paraId="52EB71FA">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严重不良事件（</w:t>
      </w:r>
      <w:r>
        <w:rPr>
          <w:rFonts w:ascii="宋体" w:hAnsi="宋体" w:eastAsia="宋体" w:cs="宋体"/>
          <w:spacing w:val="9"/>
          <w:sz w:val="21"/>
          <w:szCs w:val="21"/>
          <w:lang w:eastAsia="zh-CN"/>
        </w:rPr>
        <w:t>SAE</w:t>
      </w:r>
      <w:r>
        <w:rPr>
          <w:rFonts w:hint="eastAsia" w:ascii="宋体" w:hAnsi="宋体" w:eastAsia="宋体" w:cs="宋体"/>
          <w:spacing w:val="9"/>
          <w:sz w:val="21"/>
          <w:szCs w:val="21"/>
          <w:lang w:eastAsia="zh-CN"/>
        </w:rPr>
        <w:t>）发生率应≤</w:t>
      </w:r>
      <w:r>
        <w:rPr>
          <w:rFonts w:ascii="宋体" w:hAnsi="宋体" w:eastAsia="宋体" w:cs="宋体"/>
          <w:spacing w:val="9"/>
          <w:sz w:val="21"/>
          <w:szCs w:val="21"/>
          <w:lang w:eastAsia="zh-CN"/>
        </w:rPr>
        <w:t>5%</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3153A588">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感染发生率应≤</w:t>
      </w:r>
      <w:r>
        <w:rPr>
          <w:rFonts w:ascii="宋体" w:hAnsi="宋体" w:eastAsia="宋体" w:cs="宋体"/>
          <w:spacing w:val="9"/>
          <w:sz w:val="21"/>
          <w:szCs w:val="21"/>
          <w:lang w:eastAsia="zh-CN"/>
        </w:rPr>
        <w:t>3%</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40E831F0">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c) </w:t>
      </w:r>
      <w:r>
        <w:rPr>
          <w:rFonts w:hint="eastAsia" w:ascii="宋体" w:hAnsi="宋体" w:eastAsia="宋体" w:cs="宋体"/>
          <w:spacing w:val="9"/>
          <w:sz w:val="21"/>
          <w:szCs w:val="21"/>
          <w:lang w:eastAsia="zh-CN"/>
        </w:rPr>
        <w:t>移植物显著变形（需二次手术干预）发生率应≤</w:t>
      </w:r>
      <w:r>
        <w:rPr>
          <w:rFonts w:ascii="宋体" w:hAnsi="宋体" w:eastAsia="宋体" w:cs="宋体"/>
          <w:spacing w:val="9"/>
          <w:sz w:val="21"/>
          <w:szCs w:val="21"/>
          <w:lang w:eastAsia="zh-CN"/>
        </w:rPr>
        <w:t>5%</w:t>
      </w:r>
      <w:r>
        <w:rPr>
          <w:rFonts w:hint="eastAsia" w:ascii="宋体" w:hAnsi="宋体" w:eastAsia="宋体" w:cs="宋体"/>
          <w:spacing w:val="9"/>
          <w:sz w:val="21"/>
          <w:szCs w:val="21"/>
          <w:lang w:eastAsia="zh-CN"/>
        </w:rPr>
        <w:t>。</w:t>
      </w:r>
    </w:p>
    <w:p w14:paraId="26D0ABBE">
      <w:pPr>
        <w:pStyle w:val="5"/>
        <w:numPr>
          <w:ilvl w:val="1"/>
          <w:numId w:val="1"/>
        </w:numPr>
        <w:spacing w:before="265" w:line="360" w:lineRule="auto"/>
        <w:outlineLvl w:val="0"/>
        <w:rPr>
          <w:rFonts w:hint="eastAsia"/>
          <w:spacing w:val="7"/>
          <w:sz w:val="20"/>
          <w:szCs w:val="20"/>
          <w:lang w:eastAsia="zh-CN"/>
        </w:rPr>
      </w:pPr>
      <w:bookmarkStart w:id="44" w:name="_Toc215049738"/>
      <w:r>
        <w:rPr>
          <w:rFonts w:hint="eastAsia"/>
          <w:spacing w:val="7"/>
          <w:sz w:val="20"/>
          <w:szCs w:val="20"/>
          <w:lang w:eastAsia="zh-CN"/>
        </w:rPr>
        <w:t>功能指标</w:t>
      </w:r>
      <w:bookmarkEnd w:id="44"/>
    </w:p>
    <w:p w14:paraId="2E594C8D">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鼻通气功能：</w:t>
      </w:r>
    </w:p>
    <w:p w14:paraId="32DA7D5D">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主观</w:t>
      </w:r>
      <w:r>
        <w:rPr>
          <w:rFonts w:ascii="宋体" w:hAnsi="宋体" w:eastAsia="宋体" w:cs="宋体"/>
          <w:spacing w:val="9"/>
          <w:sz w:val="21"/>
          <w:szCs w:val="21"/>
          <w:lang w:eastAsia="zh-CN"/>
        </w:rPr>
        <w:t>VAS</w:t>
      </w:r>
      <w:r>
        <w:rPr>
          <w:rFonts w:hint="eastAsia" w:ascii="宋体" w:hAnsi="宋体" w:eastAsia="宋体" w:cs="宋体"/>
          <w:spacing w:val="9"/>
          <w:sz w:val="21"/>
          <w:szCs w:val="21"/>
          <w:lang w:eastAsia="zh-CN"/>
        </w:rPr>
        <w:t>评分改善应≥</w:t>
      </w:r>
      <w:r>
        <w:rPr>
          <w:rFonts w:ascii="宋体" w:hAnsi="宋体" w:eastAsia="宋体" w:cs="宋体"/>
          <w:spacing w:val="9"/>
          <w:sz w:val="21"/>
          <w:szCs w:val="21"/>
          <w:lang w:eastAsia="zh-CN"/>
        </w:rPr>
        <w:t>50%</w:t>
      </w:r>
      <w:r>
        <w:rPr>
          <w:rFonts w:hint="eastAsia" w:ascii="宋体" w:hAnsi="宋体" w:eastAsia="宋体" w:cs="宋体"/>
          <w:spacing w:val="9"/>
          <w:sz w:val="21"/>
          <w:szCs w:val="21"/>
          <w:lang w:eastAsia="zh-CN"/>
        </w:rPr>
        <w:t>；</w:t>
      </w:r>
    </w:p>
    <w:p w14:paraId="7AD2C548">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或鼻阻力计测量值应≤</w:t>
      </w:r>
      <w:r>
        <w:rPr>
          <w:rFonts w:ascii="宋体" w:hAnsi="宋体" w:eastAsia="宋体" w:cs="宋体"/>
          <w:spacing w:val="9"/>
          <w:sz w:val="21"/>
          <w:szCs w:val="21"/>
          <w:lang w:eastAsia="zh-CN"/>
        </w:rPr>
        <w:t>0.</w:t>
      </w:r>
      <w:r>
        <w:rPr>
          <w:rFonts w:hint="eastAsia" w:ascii="宋体" w:hAnsi="宋体" w:eastAsia="宋体" w:cs="宋体"/>
          <w:spacing w:val="9"/>
          <w:sz w:val="21"/>
          <w:szCs w:val="21"/>
          <w:lang w:eastAsia="zh-CN"/>
        </w:rPr>
        <w:t>3</w:t>
      </w:r>
      <w:r>
        <w:rPr>
          <w:rFonts w:ascii="宋体" w:hAnsi="宋体" w:eastAsia="宋体" w:cs="宋体"/>
          <w:spacing w:val="9"/>
          <w:sz w:val="21"/>
          <w:szCs w:val="21"/>
          <w:lang w:eastAsia="zh-CN"/>
        </w:rPr>
        <w:t xml:space="preserve"> Pa</w:t>
      </w:r>
      <w:r>
        <w:rPr>
          <w:rFonts w:hint="eastAsia" w:ascii="宋体" w:hAnsi="宋体" w:eastAsia="宋体" w:cs="宋体"/>
          <w:spacing w:val="9"/>
          <w:sz w:val="21"/>
          <w:szCs w:val="21"/>
          <w:lang w:eastAsia="zh-CN"/>
        </w:rPr>
        <w:t>·s</w:t>
      </w:r>
      <w:r>
        <w:rPr>
          <w:rFonts w:ascii="宋体" w:hAnsi="宋体" w:eastAsia="宋体" w:cs="宋体"/>
          <w:spacing w:val="9"/>
          <w:sz w:val="21"/>
          <w:szCs w:val="21"/>
          <w:lang w:eastAsia="zh-CN"/>
        </w:rPr>
        <w:t>/cm³</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03081ED9">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耳部稳定性：</w:t>
      </w:r>
    </w:p>
    <w:p w14:paraId="699417F0">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眼镜佩戴</w:t>
      </w:r>
      <w:r>
        <w:rPr>
          <w:rFonts w:ascii="宋体" w:hAnsi="宋体" w:eastAsia="宋体" w:cs="宋体"/>
          <w:spacing w:val="9"/>
          <w:sz w:val="21"/>
          <w:szCs w:val="21"/>
          <w:lang w:eastAsia="zh-CN"/>
        </w:rPr>
        <w:t>VAS</w:t>
      </w:r>
      <w:r>
        <w:rPr>
          <w:rFonts w:hint="eastAsia" w:ascii="宋体" w:hAnsi="宋体" w:eastAsia="宋体" w:cs="宋体"/>
          <w:spacing w:val="9"/>
          <w:sz w:val="21"/>
          <w:szCs w:val="21"/>
          <w:lang w:eastAsia="zh-CN"/>
        </w:rPr>
        <w:t>评分应≤</w:t>
      </w:r>
      <w:r>
        <w:rPr>
          <w:rFonts w:ascii="宋体" w:hAnsi="宋体" w:eastAsia="宋体" w:cs="宋体"/>
          <w:spacing w:val="9"/>
          <w:sz w:val="21"/>
          <w:szCs w:val="21"/>
          <w:lang w:eastAsia="zh-CN"/>
        </w:rPr>
        <w:t>2</w:t>
      </w:r>
      <w:r>
        <w:rPr>
          <w:rFonts w:hint="eastAsia" w:ascii="宋体" w:hAnsi="宋体" w:eastAsia="宋体" w:cs="宋体"/>
          <w:spacing w:val="9"/>
          <w:sz w:val="21"/>
          <w:szCs w:val="21"/>
          <w:lang w:eastAsia="zh-CN"/>
        </w:rPr>
        <w:t>分（</w:t>
      </w:r>
      <w:r>
        <w:rPr>
          <w:rFonts w:ascii="宋体" w:hAnsi="宋体" w:eastAsia="宋体" w:cs="宋体"/>
          <w:spacing w:val="9"/>
          <w:sz w:val="21"/>
          <w:szCs w:val="21"/>
          <w:lang w:eastAsia="zh-CN"/>
        </w:rPr>
        <w:t>0-10</w:t>
      </w:r>
      <w:r>
        <w:rPr>
          <w:rFonts w:hint="eastAsia" w:ascii="宋体" w:hAnsi="宋体" w:eastAsia="宋体" w:cs="宋体"/>
          <w:spacing w:val="9"/>
          <w:sz w:val="21"/>
          <w:szCs w:val="21"/>
          <w:lang w:eastAsia="zh-CN"/>
        </w:rPr>
        <w:t>分制）。</w:t>
      </w:r>
    </w:p>
    <w:p w14:paraId="7167395D">
      <w:pPr>
        <w:pStyle w:val="5"/>
        <w:numPr>
          <w:ilvl w:val="1"/>
          <w:numId w:val="1"/>
        </w:numPr>
        <w:spacing w:before="265" w:line="360" w:lineRule="auto"/>
        <w:outlineLvl w:val="0"/>
        <w:rPr>
          <w:rFonts w:hint="eastAsia"/>
          <w:spacing w:val="7"/>
          <w:sz w:val="20"/>
          <w:szCs w:val="20"/>
          <w:lang w:eastAsia="zh-CN"/>
        </w:rPr>
      </w:pPr>
      <w:bookmarkStart w:id="45" w:name="_Toc215049739"/>
      <w:r>
        <w:rPr>
          <w:rFonts w:hint="eastAsia"/>
          <w:spacing w:val="7"/>
          <w:sz w:val="20"/>
          <w:szCs w:val="20"/>
          <w:lang w:eastAsia="zh-CN"/>
        </w:rPr>
        <w:t>患者报告结局指标</w:t>
      </w:r>
      <w:bookmarkEnd w:id="45"/>
    </w:p>
    <w:p w14:paraId="7E3BC619">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a) FACE-Q Satisfaction with Facial Appearance</w:t>
      </w:r>
      <w:r>
        <w:rPr>
          <w:rFonts w:hint="eastAsia" w:ascii="宋体" w:hAnsi="宋体" w:eastAsia="宋体" w:cs="宋体"/>
          <w:spacing w:val="9"/>
          <w:sz w:val="21"/>
          <w:szCs w:val="21"/>
          <w:lang w:eastAsia="zh-CN"/>
        </w:rPr>
        <w:t>模块评分较术前改善应≥</w:t>
      </w:r>
      <w:r>
        <w:rPr>
          <w:rFonts w:ascii="宋体" w:hAnsi="宋体" w:eastAsia="宋体" w:cs="宋体"/>
          <w:spacing w:val="9"/>
          <w:sz w:val="21"/>
          <w:szCs w:val="21"/>
          <w:lang w:eastAsia="zh-CN"/>
        </w:rPr>
        <w:t>5</w:t>
      </w:r>
      <w:r>
        <w:rPr>
          <w:rFonts w:hint="eastAsia" w:ascii="宋体" w:hAnsi="宋体" w:eastAsia="宋体" w:cs="宋体"/>
          <w:spacing w:val="9"/>
          <w:sz w:val="21"/>
          <w:szCs w:val="21"/>
          <w:lang w:eastAsia="zh-CN"/>
        </w:rPr>
        <w:t>分；</w:t>
      </w:r>
    </w:p>
    <w:p w14:paraId="20109A33">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b) FACE-Q Psychosocial Impact</w:t>
      </w:r>
      <w:r>
        <w:rPr>
          <w:rFonts w:hint="eastAsia" w:ascii="宋体" w:hAnsi="宋体" w:eastAsia="宋体" w:cs="宋体"/>
          <w:spacing w:val="9"/>
          <w:sz w:val="21"/>
          <w:szCs w:val="21"/>
          <w:lang w:eastAsia="zh-CN"/>
        </w:rPr>
        <w:t>模块评分较术前改善应≥</w:t>
      </w:r>
      <w:r>
        <w:rPr>
          <w:rFonts w:ascii="宋体" w:hAnsi="宋体" w:eastAsia="宋体" w:cs="宋体"/>
          <w:spacing w:val="9"/>
          <w:sz w:val="21"/>
          <w:szCs w:val="21"/>
          <w:lang w:eastAsia="zh-CN"/>
        </w:rPr>
        <w:t>4</w:t>
      </w:r>
      <w:r>
        <w:rPr>
          <w:rFonts w:hint="eastAsia" w:ascii="宋体" w:hAnsi="宋体" w:eastAsia="宋体" w:cs="宋体"/>
          <w:spacing w:val="9"/>
          <w:sz w:val="21"/>
          <w:szCs w:val="21"/>
          <w:lang w:eastAsia="zh-CN"/>
        </w:rPr>
        <w:t>分。</w:t>
      </w:r>
    </w:p>
    <w:p w14:paraId="37F86248">
      <w:pPr>
        <w:pStyle w:val="5"/>
        <w:numPr>
          <w:ilvl w:val="1"/>
          <w:numId w:val="1"/>
        </w:numPr>
        <w:spacing w:before="265" w:line="360" w:lineRule="auto"/>
        <w:outlineLvl w:val="0"/>
        <w:rPr>
          <w:rFonts w:hint="eastAsia"/>
          <w:spacing w:val="7"/>
          <w:sz w:val="20"/>
          <w:szCs w:val="20"/>
          <w:lang w:eastAsia="zh-CN"/>
        </w:rPr>
      </w:pPr>
      <w:bookmarkStart w:id="46" w:name="_Toc215049740"/>
      <w:r>
        <w:rPr>
          <w:rFonts w:hint="eastAsia"/>
          <w:spacing w:val="7"/>
          <w:sz w:val="20"/>
          <w:szCs w:val="20"/>
          <w:lang w:eastAsia="zh-CN"/>
        </w:rPr>
        <w:t>长期效果判定</w:t>
      </w:r>
      <w:bookmarkEnd w:id="46"/>
    </w:p>
    <w:p w14:paraId="3D83D97A">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满足以下全部条件视为“长期稳定”：</w:t>
      </w:r>
      <w:r>
        <w:rPr>
          <w:rFonts w:ascii="宋体" w:hAnsi="宋体" w:eastAsia="宋体" w:cs="宋体"/>
          <w:spacing w:val="9"/>
          <w:sz w:val="21"/>
          <w:szCs w:val="21"/>
          <w:lang w:eastAsia="zh-CN"/>
        </w:rPr>
        <w:t xml:space="preserve"> </w:t>
      </w:r>
    </w:p>
    <w:p w14:paraId="1C26543A">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术后</w:t>
      </w:r>
      <w:r>
        <w:rPr>
          <w:rFonts w:ascii="宋体" w:hAnsi="宋体" w:eastAsia="宋体" w:cs="宋体"/>
          <w:spacing w:val="9"/>
          <w:sz w:val="21"/>
          <w:szCs w:val="21"/>
          <w:lang w:eastAsia="zh-CN"/>
        </w:rPr>
        <w:t>5</w:t>
      </w:r>
      <w:r>
        <w:rPr>
          <w:rFonts w:hint="eastAsia" w:ascii="宋体" w:hAnsi="宋体" w:eastAsia="宋体" w:cs="宋体"/>
          <w:spacing w:val="9"/>
          <w:sz w:val="21"/>
          <w:szCs w:val="21"/>
          <w:lang w:eastAsia="zh-CN"/>
        </w:rPr>
        <w:t>年体积保持率≥</w:t>
      </w:r>
      <w:r>
        <w:rPr>
          <w:rFonts w:ascii="宋体" w:hAnsi="宋体" w:eastAsia="宋体" w:cs="宋体"/>
          <w:spacing w:val="9"/>
          <w:sz w:val="21"/>
          <w:szCs w:val="21"/>
          <w:lang w:eastAsia="zh-CN"/>
        </w:rPr>
        <w:t>70%</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3553210F">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无进行性变形或移位（</w:t>
      </w:r>
      <w:r>
        <w:rPr>
          <w:rFonts w:ascii="宋体" w:hAnsi="宋体" w:eastAsia="宋体" w:cs="宋体"/>
          <w:spacing w:val="9"/>
          <w:sz w:val="21"/>
          <w:szCs w:val="21"/>
          <w:lang w:eastAsia="zh-CN"/>
        </w:rPr>
        <w:t>3D</w:t>
      </w:r>
      <w:r>
        <w:rPr>
          <w:rFonts w:hint="eastAsia" w:ascii="宋体" w:hAnsi="宋体" w:eastAsia="宋体" w:cs="宋体"/>
          <w:spacing w:val="9"/>
          <w:sz w:val="21"/>
          <w:szCs w:val="21"/>
          <w:lang w:eastAsia="zh-CN"/>
        </w:rPr>
        <w:t>扫描变形量＜</w:t>
      </w:r>
      <w:r>
        <w:rPr>
          <w:rFonts w:ascii="宋体" w:hAnsi="宋体" w:eastAsia="宋体" w:cs="宋体"/>
          <w:spacing w:val="9"/>
          <w:sz w:val="21"/>
          <w:szCs w:val="21"/>
          <w:lang w:eastAsia="zh-CN"/>
        </w:rPr>
        <w:t>2 mm</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6AFA51DA">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c) FACE-Q</w:t>
      </w:r>
      <w:r>
        <w:rPr>
          <w:rFonts w:hint="eastAsia" w:ascii="宋体" w:hAnsi="宋体" w:eastAsia="宋体" w:cs="宋体"/>
          <w:spacing w:val="9"/>
          <w:sz w:val="21"/>
          <w:szCs w:val="21"/>
          <w:lang w:eastAsia="zh-CN"/>
        </w:rPr>
        <w:t>满意度评分持续≥</w:t>
      </w:r>
      <w:r>
        <w:rPr>
          <w:rFonts w:ascii="宋体" w:hAnsi="宋体" w:eastAsia="宋体" w:cs="宋体"/>
          <w:spacing w:val="9"/>
          <w:sz w:val="21"/>
          <w:szCs w:val="21"/>
          <w:lang w:eastAsia="zh-CN"/>
        </w:rPr>
        <w:t>75</w:t>
      </w:r>
      <w:r>
        <w:rPr>
          <w:rFonts w:hint="eastAsia" w:ascii="宋体" w:hAnsi="宋体" w:eastAsia="宋体" w:cs="宋体"/>
          <w:spacing w:val="9"/>
          <w:sz w:val="21"/>
          <w:szCs w:val="21"/>
          <w:lang w:eastAsia="zh-CN"/>
        </w:rPr>
        <w:t>分；</w:t>
      </w:r>
    </w:p>
    <w:p w14:paraId="4EDF3022">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d) </w:t>
      </w:r>
      <w:r>
        <w:rPr>
          <w:rFonts w:hint="eastAsia" w:ascii="宋体" w:hAnsi="宋体" w:eastAsia="宋体" w:cs="宋体"/>
          <w:spacing w:val="9"/>
          <w:sz w:val="21"/>
          <w:szCs w:val="21"/>
          <w:lang w:eastAsia="zh-CN"/>
        </w:rPr>
        <w:t>无需二次手术干预。</w:t>
      </w:r>
    </w:p>
    <w:p w14:paraId="6346693B">
      <w:pPr>
        <w:pStyle w:val="5"/>
        <w:numPr>
          <w:ilvl w:val="0"/>
          <w:numId w:val="1"/>
        </w:numPr>
        <w:spacing w:before="265" w:line="360" w:lineRule="auto"/>
        <w:outlineLvl w:val="0"/>
        <w:rPr>
          <w:rFonts w:hint="eastAsia"/>
          <w:spacing w:val="7"/>
          <w:sz w:val="20"/>
          <w:szCs w:val="20"/>
          <w:lang w:eastAsia="zh-CN"/>
        </w:rPr>
      </w:pPr>
      <w:bookmarkStart w:id="47" w:name="_Toc215049741"/>
      <w:r>
        <w:rPr>
          <w:rFonts w:hint="eastAsia"/>
          <w:spacing w:val="7"/>
          <w:sz w:val="20"/>
          <w:szCs w:val="20"/>
          <w:lang w:eastAsia="zh-CN"/>
        </w:rPr>
        <w:t>评估实施流程</w:t>
      </w:r>
      <w:bookmarkEnd w:id="47"/>
    </w:p>
    <w:p w14:paraId="1F3FF751">
      <w:pPr>
        <w:pStyle w:val="5"/>
        <w:numPr>
          <w:ilvl w:val="1"/>
          <w:numId w:val="1"/>
        </w:numPr>
        <w:spacing w:before="265" w:line="360" w:lineRule="auto"/>
        <w:outlineLvl w:val="0"/>
        <w:rPr>
          <w:rFonts w:hint="eastAsia"/>
          <w:spacing w:val="7"/>
          <w:sz w:val="20"/>
          <w:szCs w:val="20"/>
          <w:lang w:eastAsia="zh-CN"/>
        </w:rPr>
      </w:pPr>
      <w:bookmarkStart w:id="48" w:name="_Toc215049742"/>
      <w:r>
        <w:rPr>
          <w:rFonts w:hint="eastAsia"/>
          <w:spacing w:val="7"/>
          <w:sz w:val="20"/>
          <w:szCs w:val="20"/>
          <w:lang w:eastAsia="zh-CN"/>
        </w:rPr>
        <w:t>评估准备</w:t>
      </w:r>
      <w:bookmarkEnd w:id="48"/>
    </w:p>
    <w:p w14:paraId="7CAB3B63">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术前应获取标准化面部照片及</w:t>
      </w:r>
      <w:r>
        <w:rPr>
          <w:rFonts w:ascii="宋体" w:hAnsi="宋体" w:eastAsia="宋体" w:cs="宋体"/>
          <w:spacing w:val="9"/>
          <w:sz w:val="21"/>
          <w:szCs w:val="21"/>
          <w:lang w:eastAsia="zh-CN"/>
        </w:rPr>
        <w:t>3D</w:t>
      </w:r>
      <w:r>
        <w:rPr>
          <w:rFonts w:hint="eastAsia" w:ascii="宋体" w:hAnsi="宋体" w:eastAsia="宋体" w:cs="宋体"/>
          <w:spacing w:val="9"/>
          <w:sz w:val="21"/>
          <w:szCs w:val="21"/>
          <w:lang w:eastAsia="zh-CN"/>
        </w:rPr>
        <w:t>扫描数据作为基线；</w:t>
      </w:r>
      <w:r>
        <w:rPr>
          <w:rFonts w:ascii="宋体" w:hAnsi="宋体" w:eastAsia="宋体" w:cs="宋体"/>
          <w:spacing w:val="9"/>
          <w:sz w:val="21"/>
          <w:szCs w:val="21"/>
          <w:lang w:eastAsia="zh-CN"/>
        </w:rPr>
        <w:t xml:space="preserve"> </w:t>
      </w:r>
    </w:p>
    <w:p w14:paraId="73FFB411">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术后6周应进行</w:t>
      </w:r>
      <w:r>
        <w:rPr>
          <w:rFonts w:ascii="宋体" w:hAnsi="宋体" w:eastAsia="宋体" w:cs="宋体"/>
          <w:spacing w:val="9"/>
          <w:sz w:val="21"/>
          <w:szCs w:val="21"/>
          <w:lang w:eastAsia="zh-CN"/>
        </w:rPr>
        <w:t>HRCT</w:t>
      </w:r>
      <w:r>
        <w:rPr>
          <w:rFonts w:hint="eastAsia" w:ascii="宋体" w:hAnsi="宋体" w:eastAsia="宋体" w:cs="宋体"/>
          <w:spacing w:val="9"/>
          <w:sz w:val="21"/>
          <w:szCs w:val="21"/>
          <w:lang w:eastAsia="zh-CN"/>
        </w:rPr>
        <w:t>扫描获取</w:t>
      </w:r>
      <w:r>
        <w:rPr>
          <w:rFonts w:ascii="宋体" w:hAnsi="宋体" w:eastAsia="宋体" w:cs="宋体"/>
          <w:spacing w:val="9"/>
          <w:sz w:val="21"/>
          <w:szCs w:val="21"/>
          <w:lang w:eastAsia="zh-CN"/>
        </w:rPr>
        <w:t xml:space="preserve"> V0</w:t>
      </w:r>
      <w:r>
        <w:rPr>
          <w:rFonts w:hint="eastAsia" w:ascii="宋体" w:hAnsi="宋体" w:eastAsia="宋体" w:cs="宋体"/>
          <w:spacing w:val="9"/>
          <w:sz w:val="21"/>
          <w:szCs w:val="21"/>
          <w:lang w:eastAsia="zh-CN"/>
        </w:rPr>
        <w:t>。</w:t>
      </w:r>
    </w:p>
    <w:p w14:paraId="33ABE19E">
      <w:pPr>
        <w:pStyle w:val="5"/>
        <w:numPr>
          <w:ilvl w:val="1"/>
          <w:numId w:val="1"/>
        </w:numPr>
        <w:spacing w:before="265" w:line="360" w:lineRule="auto"/>
        <w:outlineLvl w:val="0"/>
        <w:rPr>
          <w:rFonts w:hint="eastAsia"/>
          <w:spacing w:val="7"/>
          <w:sz w:val="20"/>
          <w:szCs w:val="20"/>
          <w:lang w:eastAsia="zh-CN"/>
        </w:rPr>
      </w:pPr>
      <w:bookmarkStart w:id="49" w:name="_Toc215049743"/>
      <w:r>
        <w:rPr>
          <w:rFonts w:hint="eastAsia"/>
          <w:spacing w:val="7"/>
          <w:sz w:val="20"/>
          <w:szCs w:val="20"/>
          <w:lang w:eastAsia="zh-CN"/>
        </w:rPr>
        <w:t>随访评估</w:t>
      </w:r>
      <w:bookmarkEnd w:id="49"/>
    </w:p>
    <w:p w14:paraId="3C5F59E3">
      <w:pPr>
        <w:spacing w:before="23" w:line="360" w:lineRule="auto"/>
        <w:ind w:right="58"/>
        <w:rPr>
          <w:rFonts w:hint="eastAsia" w:ascii="黑体" w:hAnsi="黑体" w:eastAsia="黑体" w:cs="黑体"/>
          <w:spacing w:val="7"/>
          <w:sz w:val="20"/>
          <w:szCs w:val="20"/>
          <w:lang w:eastAsia="zh-CN"/>
        </w:rPr>
      </w:pPr>
      <w:r>
        <w:rPr>
          <w:rFonts w:ascii="黑体" w:hAnsi="黑体" w:eastAsia="黑体" w:cs="黑体"/>
          <w:spacing w:val="7"/>
          <w:sz w:val="20"/>
          <w:szCs w:val="20"/>
          <w:lang w:eastAsia="zh-CN"/>
        </w:rPr>
        <w:t>7.2.1 短期评估</w:t>
      </w:r>
    </w:p>
    <w:p w14:paraId="31081FAD">
      <w:pPr>
        <w:numPr>
          <w:ilvl w:val="0"/>
          <w:numId w:val="3"/>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随访时间点</w:t>
      </w:r>
      <w:r>
        <w:rPr>
          <w:rFonts w:ascii="宋体" w:hAnsi="宋体" w:eastAsia="宋体" w:cs="宋体"/>
          <w:spacing w:val="9"/>
          <w:sz w:val="21"/>
          <w:szCs w:val="21"/>
          <w:lang w:eastAsia="zh-CN"/>
        </w:rPr>
        <w:t>：术后 1 个月 ±7 日、术后 3 个月 ±7 日</w:t>
      </w:r>
    </w:p>
    <w:p w14:paraId="1FB3EAE5">
      <w:pPr>
        <w:numPr>
          <w:ilvl w:val="0"/>
          <w:numId w:val="3"/>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术后 1 个月 ±7 日评估项目</w:t>
      </w:r>
    </w:p>
    <w:p w14:paraId="54470BC3">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必做项目：①临床检查（按 5.2.1 执行，重点记录感染、移植物移位 / 变形、皮肤破溃及疼痛 VAS 评分）；②标准化面部摄影（正侧位、45° 位，留存基线对比素材）</w:t>
      </w:r>
    </w:p>
    <w:p w14:paraId="449B1700">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选做项目：无（术后早期以基础安全监测为主，暂不开展深度影像学评估，减少患者检查负担）</w:t>
      </w:r>
    </w:p>
    <w:p w14:paraId="0CCE28B4">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备注：需与术后即刻照片对比，初步判断移植物位置稳定性，异常情况按 4.3 风险控制流程启动应急预案</w:t>
      </w:r>
    </w:p>
    <w:p w14:paraId="5BFC42BA">
      <w:pPr>
        <w:numPr>
          <w:ilvl w:val="0"/>
          <w:numId w:val="3"/>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术后 3 个月 ±7 日评估项目</w:t>
      </w:r>
    </w:p>
    <w:p w14:paraId="7798C264">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必做项目：①临床检查（同 5.2.1）；②MRI 扫描（按 5.1.1 参数执行，获取首次移植物体积及信号数据，为体积保持率计算提供基准）；③标准化面部摄影</w:t>
      </w:r>
    </w:p>
    <w:p w14:paraId="3A667AF4">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选做项目：无（此阶段优先完成影像学基础数据采集，对称性及功能评估待肿胀完全消退后开展）</w:t>
      </w:r>
    </w:p>
    <w:p w14:paraId="0887A99A">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备注：MRI 数据需按 8.1 要求以 DICOM 格式存储，体积测量按附录 A 执行，数据需经 1 名影像科医师初核</w:t>
      </w:r>
    </w:p>
    <w:p w14:paraId="5DCD0CBB">
      <w:pPr>
        <w:spacing w:before="23" w:line="360" w:lineRule="auto"/>
        <w:ind w:right="58"/>
        <w:rPr>
          <w:rFonts w:ascii="黑体" w:hAnsi="黑体" w:eastAsia="黑体" w:cs="黑体"/>
          <w:spacing w:val="7"/>
          <w:sz w:val="20"/>
          <w:szCs w:val="20"/>
          <w:lang w:eastAsia="zh-CN"/>
        </w:rPr>
      </w:pPr>
    </w:p>
    <w:p w14:paraId="57822CF2">
      <w:pPr>
        <w:spacing w:before="23" w:line="360" w:lineRule="auto"/>
        <w:ind w:right="58"/>
        <w:rPr>
          <w:rFonts w:hint="eastAsia" w:ascii="黑体" w:hAnsi="黑体" w:eastAsia="黑体" w:cs="黑体"/>
          <w:spacing w:val="7"/>
          <w:sz w:val="20"/>
          <w:szCs w:val="20"/>
          <w:lang w:eastAsia="zh-CN"/>
        </w:rPr>
      </w:pPr>
      <w:r>
        <w:rPr>
          <w:rFonts w:ascii="黑体" w:hAnsi="黑体" w:eastAsia="黑体" w:cs="黑体"/>
          <w:spacing w:val="7"/>
          <w:sz w:val="20"/>
          <w:szCs w:val="20"/>
          <w:lang w:eastAsia="zh-CN"/>
        </w:rPr>
        <w:t>7.2.2 中期评估</w:t>
      </w:r>
    </w:p>
    <w:p w14:paraId="38031C00">
      <w:pPr>
        <w:numPr>
          <w:ilvl w:val="0"/>
          <w:numId w:val="4"/>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随访时间点</w:t>
      </w:r>
      <w:r>
        <w:rPr>
          <w:rFonts w:ascii="宋体" w:hAnsi="宋体" w:eastAsia="宋体" w:cs="宋体"/>
          <w:spacing w:val="9"/>
          <w:sz w:val="21"/>
          <w:szCs w:val="21"/>
          <w:lang w:eastAsia="zh-CN"/>
        </w:rPr>
        <w:t>：术后 6 个月 ±14 日、术后 12 个月 ±30 日</w:t>
      </w:r>
    </w:p>
    <w:p w14:paraId="6A560EE7">
      <w:pPr>
        <w:numPr>
          <w:ilvl w:val="0"/>
          <w:numId w:val="4"/>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术后 6 个月 ±14 日评估项目</w:t>
      </w:r>
    </w:p>
    <w:p w14:paraId="0286AB22">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必做项目：①临床检查（同 5.2.1）；②3D 表面扫描（按 5.1.2 参数执行，首次开展对称性分析）；③FACE-Q 量表施测（按 5.3.2 执行，含外观满意度、心理社会影响模块）</w:t>
      </w:r>
    </w:p>
    <w:p w14:paraId="035FEA75">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选做项目：无（此阶段面部软组织肿胀基本消退，对称性数据及主观感受评估更具参考价值）</w:t>
      </w:r>
    </w:p>
    <w:p w14:paraId="11B23957">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备注：3D 扫描对称性分析需按附录 A 计算指数，FACE-Q 数据需经 CRC 核对完整性（参照 8.2 质量控制）</w:t>
      </w:r>
    </w:p>
    <w:p w14:paraId="7D4E76DD">
      <w:pPr>
        <w:numPr>
          <w:ilvl w:val="0"/>
          <w:numId w:val="4"/>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术后 12 个月 ±30 日评估项目</w:t>
      </w:r>
    </w:p>
    <w:p w14:paraId="4632FD0D">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必做项目：①临床检查（同 5.2.1）；②MRI 扫描（同 5.1.1/5.2.2，计算术后 1 年体积保持率，评估信号一致性）；③3D 表面扫描（同 5.1.2，复核对称性）；④FACE-Q 量表施测（同 5.3.2）</w:t>
      </w:r>
    </w:p>
    <w:p w14:paraId="2D22A83A">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选做项目：部位特异性功能评估（按 5.3.1 执行，鼻部需做鼻通气 VAS 评分 / 鼻阻力测量，耳部需做眼镜佩戴稳定性 VAS 评分）</w:t>
      </w:r>
    </w:p>
    <w:p w14:paraId="259C7E02">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备注：体积保持率计算需与术后 3 个月 MRI 体积数据对比，功能评估结果需结合临床检查记录，异常情况需启动多学科协作（参照 7.3）</w:t>
      </w:r>
    </w:p>
    <w:p w14:paraId="411529B4">
      <w:pPr>
        <w:spacing w:before="23" w:line="360" w:lineRule="auto"/>
        <w:ind w:right="58"/>
        <w:rPr>
          <w:rFonts w:ascii="黑体" w:hAnsi="黑体" w:eastAsia="黑体" w:cs="黑体"/>
          <w:spacing w:val="7"/>
          <w:sz w:val="20"/>
          <w:szCs w:val="20"/>
          <w:lang w:eastAsia="zh-CN"/>
        </w:rPr>
      </w:pPr>
    </w:p>
    <w:p w14:paraId="7F9ACA65">
      <w:pPr>
        <w:spacing w:before="23" w:line="360" w:lineRule="auto"/>
        <w:ind w:right="58"/>
        <w:rPr>
          <w:rFonts w:hint="eastAsia" w:ascii="黑体" w:hAnsi="黑体" w:eastAsia="黑体" w:cs="黑体"/>
          <w:spacing w:val="7"/>
          <w:sz w:val="20"/>
          <w:szCs w:val="20"/>
          <w:lang w:eastAsia="zh-CN"/>
        </w:rPr>
      </w:pPr>
      <w:r>
        <w:rPr>
          <w:rFonts w:ascii="黑体" w:hAnsi="黑体" w:eastAsia="黑体" w:cs="黑体"/>
          <w:spacing w:val="7"/>
          <w:sz w:val="20"/>
          <w:szCs w:val="20"/>
          <w:lang w:eastAsia="zh-CN"/>
        </w:rPr>
        <w:t>7.2.3 长期评估</w:t>
      </w:r>
    </w:p>
    <w:p w14:paraId="70538351">
      <w:pPr>
        <w:numPr>
          <w:ilvl w:val="0"/>
          <w:numId w:val="5"/>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随访时间点</w:t>
      </w:r>
      <w:r>
        <w:rPr>
          <w:rFonts w:ascii="宋体" w:hAnsi="宋体" w:eastAsia="宋体" w:cs="宋体"/>
          <w:spacing w:val="9"/>
          <w:sz w:val="21"/>
          <w:szCs w:val="21"/>
          <w:lang w:eastAsia="zh-CN"/>
        </w:rPr>
        <w:t>：术后 24 个月 ±30 日、术后 60 个月 ±60 日（可根据研究方案延长至术后 120 个月，需在方案中提前明确）</w:t>
      </w:r>
    </w:p>
    <w:p w14:paraId="4EE1B9BA">
      <w:pPr>
        <w:numPr>
          <w:ilvl w:val="0"/>
          <w:numId w:val="5"/>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术后 24 个月 ±30 日评估项目</w:t>
      </w:r>
    </w:p>
    <w:p w14:paraId="449F05C9">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必做项目：①临床检查（同 5.2.1）；②3D 表面扫描（同 5.1.2，监测长期形态对称性）；③FACE-Q 量表施测（同 5.3.2，评估主观感受稳定性）</w:t>
      </w:r>
    </w:p>
    <w:p w14:paraId="23ADDB78">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选做项目：MRI 扫描（同 5.1.1/5.2.2，按需评估长期信号及体积变化，非强制要求以平衡患者检查频次）</w:t>
      </w:r>
    </w:p>
    <w:p w14:paraId="5FC95033">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备注：3D 扫描数据需与术后 6 个月、12 个月数据对比，分析形态变化趋势，失访患者需记录失访原因（按 8.1 数据采集要求）</w:t>
      </w:r>
    </w:p>
    <w:p w14:paraId="4916AAEA">
      <w:pPr>
        <w:numPr>
          <w:ilvl w:val="0"/>
          <w:numId w:val="5"/>
        </w:numPr>
        <w:spacing w:before="23" w:line="360" w:lineRule="auto"/>
        <w:ind w:right="58"/>
        <w:rPr>
          <w:rFonts w:hint="eastAsia" w:ascii="宋体" w:hAnsi="宋体" w:eastAsia="宋体" w:cs="宋体"/>
          <w:spacing w:val="9"/>
          <w:sz w:val="21"/>
          <w:szCs w:val="21"/>
          <w:lang w:eastAsia="zh-CN"/>
        </w:rPr>
      </w:pPr>
      <w:r>
        <w:rPr>
          <w:rFonts w:ascii="宋体" w:hAnsi="宋体" w:eastAsia="宋体" w:cs="宋体"/>
          <w:b/>
          <w:bCs/>
          <w:spacing w:val="9"/>
          <w:sz w:val="21"/>
          <w:szCs w:val="21"/>
          <w:lang w:eastAsia="zh-CN"/>
        </w:rPr>
        <w:t>术后 60 个月 ±60 日评估项目</w:t>
      </w:r>
    </w:p>
    <w:p w14:paraId="05A7AC8D">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必做项目：①临床检查（同 5.2.1）；②MRI 扫描（同 5.1.1/5.2.2，重点评估钙化 / 骨化区域占比及长期体积保持率）；③3D 表面扫描（同 5.1.2）；④FACE-Q 量表施测（同 5.3.2）</w:t>
      </w:r>
    </w:p>
    <w:p w14:paraId="0C935306">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选做项目：部位特异性功能评估（同 5.3.1，验证长期功能稳定性，如鼻部鼻阀塌陷宽度测量、耳部耳廓形态动态分析）</w:t>
      </w:r>
    </w:p>
    <w:p w14:paraId="0AE4D0B2">
      <w:pPr>
        <w:spacing w:before="23" w:line="360" w:lineRule="auto"/>
        <w:ind w:left="1080" w:right="58"/>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备注：MRI 钙化评估需按 5.2.2 标准执行，体积保持率需与术后 3 个月、12 个月、24 个月数据联动分析，结果作为 6.1 “长期形态学指标” 判定依据</w:t>
      </w:r>
    </w:p>
    <w:p w14:paraId="1F1983CF">
      <w:pPr>
        <w:pStyle w:val="5"/>
        <w:numPr>
          <w:ilvl w:val="1"/>
          <w:numId w:val="1"/>
        </w:numPr>
        <w:spacing w:before="265" w:line="360" w:lineRule="auto"/>
        <w:outlineLvl w:val="0"/>
        <w:rPr>
          <w:rFonts w:hint="eastAsia"/>
          <w:spacing w:val="7"/>
          <w:sz w:val="20"/>
          <w:szCs w:val="20"/>
          <w:lang w:eastAsia="zh-CN"/>
        </w:rPr>
      </w:pPr>
      <w:bookmarkStart w:id="50" w:name="_Toc215049744"/>
      <w:r>
        <w:rPr>
          <w:rFonts w:hint="eastAsia"/>
          <w:spacing w:val="7"/>
          <w:sz w:val="20"/>
          <w:szCs w:val="20"/>
          <w:lang w:eastAsia="zh-CN"/>
        </w:rPr>
        <w:t>多学科协作</w:t>
      </w:r>
      <w:bookmarkEnd w:id="50"/>
    </w:p>
    <w:p w14:paraId="69056828">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整形外科医师负责临床检查与功能评估；</w:t>
      </w:r>
      <w:r>
        <w:rPr>
          <w:rFonts w:ascii="宋体" w:hAnsi="宋体" w:eastAsia="宋体" w:cs="宋体"/>
          <w:spacing w:val="9"/>
          <w:sz w:val="21"/>
          <w:szCs w:val="21"/>
          <w:lang w:eastAsia="zh-CN"/>
        </w:rPr>
        <w:t xml:space="preserve"> </w:t>
      </w:r>
    </w:p>
    <w:p w14:paraId="48E1C47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影像科医师负责</w:t>
      </w:r>
      <w:r>
        <w:rPr>
          <w:rFonts w:ascii="宋体" w:hAnsi="宋体" w:eastAsia="宋体" w:cs="宋体"/>
          <w:spacing w:val="9"/>
          <w:sz w:val="21"/>
          <w:szCs w:val="21"/>
          <w:lang w:eastAsia="zh-CN"/>
        </w:rPr>
        <w:t>HRCT</w:t>
      </w:r>
      <w:r>
        <w:rPr>
          <w:rFonts w:hint="eastAsia" w:ascii="宋体" w:hAnsi="宋体" w:eastAsia="宋体" w:cs="宋体"/>
          <w:spacing w:val="9"/>
          <w:sz w:val="21"/>
          <w:szCs w:val="21"/>
          <w:lang w:eastAsia="zh-CN"/>
        </w:rPr>
        <w:t>与</w:t>
      </w:r>
      <w:r>
        <w:rPr>
          <w:rFonts w:ascii="宋体" w:hAnsi="宋体" w:eastAsia="宋体" w:cs="宋体"/>
          <w:spacing w:val="9"/>
          <w:sz w:val="21"/>
          <w:szCs w:val="21"/>
          <w:lang w:eastAsia="zh-CN"/>
        </w:rPr>
        <w:t>3D</w:t>
      </w:r>
      <w:r>
        <w:rPr>
          <w:rFonts w:hint="eastAsia" w:ascii="宋体" w:hAnsi="宋体" w:eastAsia="宋体" w:cs="宋体"/>
          <w:spacing w:val="9"/>
          <w:sz w:val="21"/>
          <w:szCs w:val="21"/>
          <w:lang w:eastAsia="zh-CN"/>
        </w:rPr>
        <w:t>扫描数据分析；</w:t>
      </w:r>
    </w:p>
    <w:p w14:paraId="22F4DF69">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c) CRC</w:t>
      </w:r>
      <w:r>
        <w:rPr>
          <w:rFonts w:hint="eastAsia" w:ascii="宋体" w:hAnsi="宋体" w:eastAsia="宋体" w:cs="宋体"/>
          <w:spacing w:val="9"/>
          <w:sz w:val="21"/>
          <w:szCs w:val="21"/>
          <w:lang w:eastAsia="zh-CN"/>
        </w:rPr>
        <w:t>负责</w:t>
      </w:r>
      <w:r>
        <w:rPr>
          <w:rFonts w:ascii="宋体" w:hAnsi="宋体" w:eastAsia="宋体" w:cs="宋体"/>
          <w:spacing w:val="9"/>
          <w:sz w:val="21"/>
          <w:szCs w:val="21"/>
          <w:lang w:eastAsia="zh-CN"/>
        </w:rPr>
        <w:t>FACE-Q</w:t>
      </w:r>
      <w:r>
        <w:rPr>
          <w:rFonts w:hint="eastAsia" w:ascii="宋体" w:hAnsi="宋体" w:eastAsia="宋体" w:cs="宋体"/>
          <w:spacing w:val="9"/>
          <w:sz w:val="21"/>
          <w:szCs w:val="21"/>
          <w:lang w:eastAsia="zh-CN"/>
        </w:rPr>
        <w:t>量表施测及数据汇总。</w:t>
      </w:r>
    </w:p>
    <w:p w14:paraId="75C6C9A1">
      <w:pPr>
        <w:pStyle w:val="5"/>
        <w:numPr>
          <w:ilvl w:val="0"/>
          <w:numId w:val="1"/>
        </w:numPr>
        <w:spacing w:before="265" w:line="360" w:lineRule="auto"/>
        <w:outlineLvl w:val="0"/>
        <w:rPr>
          <w:rFonts w:hint="eastAsia"/>
          <w:spacing w:val="7"/>
          <w:sz w:val="20"/>
          <w:szCs w:val="20"/>
          <w:lang w:eastAsia="zh-CN"/>
        </w:rPr>
      </w:pPr>
      <w:bookmarkStart w:id="51" w:name="_Toc215049745"/>
      <w:r>
        <w:rPr>
          <w:rFonts w:hint="eastAsia"/>
          <w:spacing w:val="7"/>
          <w:sz w:val="20"/>
          <w:szCs w:val="20"/>
          <w:lang w:eastAsia="zh-CN"/>
        </w:rPr>
        <w:t>数据管理与质量控制</w:t>
      </w:r>
      <w:bookmarkEnd w:id="51"/>
    </w:p>
    <w:p w14:paraId="66321009">
      <w:pPr>
        <w:pStyle w:val="5"/>
        <w:numPr>
          <w:ilvl w:val="1"/>
          <w:numId w:val="1"/>
        </w:numPr>
        <w:spacing w:before="265" w:line="360" w:lineRule="auto"/>
        <w:outlineLvl w:val="0"/>
        <w:rPr>
          <w:rFonts w:hint="eastAsia"/>
          <w:spacing w:val="7"/>
          <w:sz w:val="20"/>
          <w:szCs w:val="20"/>
          <w:lang w:eastAsia="zh-CN"/>
        </w:rPr>
      </w:pPr>
      <w:bookmarkStart w:id="52" w:name="_Toc215049746"/>
      <w:r>
        <w:rPr>
          <w:rFonts w:hint="eastAsia"/>
          <w:spacing w:val="7"/>
          <w:sz w:val="20"/>
          <w:szCs w:val="20"/>
          <w:lang w:eastAsia="zh-CN"/>
        </w:rPr>
        <w:t>数据采集</w:t>
      </w:r>
      <w:bookmarkEnd w:id="52"/>
    </w:p>
    <w:p w14:paraId="46A58DE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应使用符合</w:t>
      </w:r>
      <w:r>
        <w:rPr>
          <w:rFonts w:ascii="宋体" w:hAnsi="宋体" w:eastAsia="宋体" w:cs="宋体"/>
          <w:spacing w:val="9"/>
          <w:sz w:val="21"/>
          <w:szCs w:val="21"/>
          <w:lang w:eastAsia="zh-CN"/>
        </w:rPr>
        <w:t>NMPA GCP</w:t>
      </w:r>
      <w:r>
        <w:rPr>
          <w:rFonts w:hint="eastAsia" w:ascii="宋体" w:hAnsi="宋体" w:eastAsia="宋体" w:cs="宋体"/>
          <w:spacing w:val="9"/>
          <w:sz w:val="21"/>
          <w:szCs w:val="21"/>
          <w:lang w:eastAsia="zh-CN"/>
        </w:rPr>
        <w:t>要求的电子数据采集系统（</w:t>
      </w:r>
      <w:r>
        <w:rPr>
          <w:rFonts w:ascii="宋体" w:hAnsi="宋体" w:eastAsia="宋体" w:cs="宋体"/>
          <w:spacing w:val="9"/>
          <w:sz w:val="21"/>
          <w:szCs w:val="21"/>
          <w:lang w:eastAsia="zh-CN"/>
        </w:rPr>
        <w:t>EDC</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299E0E80">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影像学数据应以</w:t>
      </w:r>
      <w:r>
        <w:rPr>
          <w:rFonts w:ascii="宋体" w:hAnsi="宋体" w:eastAsia="宋体" w:cs="宋体"/>
          <w:spacing w:val="9"/>
          <w:sz w:val="21"/>
          <w:szCs w:val="21"/>
          <w:lang w:eastAsia="zh-CN"/>
        </w:rPr>
        <w:t>DICOM</w:t>
      </w:r>
      <w:r>
        <w:rPr>
          <w:rFonts w:hint="eastAsia" w:ascii="宋体" w:hAnsi="宋体" w:eastAsia="宋体" w:cs="宋体"/>
          <w:spacing w:val="9"/>
          <w:sz w:val="21"/>
          <w:szCs w:val="21"/>
          <w:lang w:eastAsia="zh-CN"/>
        </w:rPr>
        <w:t>格式存储，</w:t>
      </w:r>
      <w:r>
        <w:rPr>
          <w:rFonts w:ascii="宋体" w:hAnsi="宋体" w:eastAsia="宋体" w:cs="宋体"/>
          <w:spacing w:val="9"/>
          <w:sz w:val="21"/>
          <w:szCs w:val="21"/>
          <w:lang w:eastAsia="zh-CN"/>
        </w:rPr>
        <w:t>FACE-Q</w:t>
      </w:r>
      <w:r>
        <w:rPr>
          <w:rFonts w:hint="eastAsia" w:ascii="宋体" w:hAnsi="宋体" w:eastAsia="宋体" w:cs="宋体"/>
          <w:spacing w:val="9"/>
          <w:sz w:val="21"/>
          <w:szCs w:val="21"/>
          <w:lang w:eastAsia="zh-CN"/>
        </w:rPr>
        <w:t>数据应加密保存。</w:t>
      </w:r>
    </w:p>
    <w:p w14:paraId="2F9F0730">
      <w:pPr>
        <w:pStyle w:val="5"/>
        <w:numPr>
          <w:ilvl w:val="1"/>
          <w:numId w:val="1"/>
        </w:numPr>
        <w:spacing w:before="265" w:line="360" w:lineRule="auto"/>
        <w:outlineLvl w:val="0"/>
        <w:rPr>
          <w:rFonts w:hint="eastAsia"/>
          <w:spacing w:val="7"/>
          <w:sz w:val="20"/>
          <w:szCs w:val="20"/>
          <w:lang w:eastAsia="zh-CN"/>
        </w:rPr>
      </w:pPr>
      <w:bookmarkStart w:id="53" w:name="_Toc215049747"/>
      <w:r>
        <w:rPr>
          <w:rFonts w:hint="eastAsia"/>
          <w:spacing w:val="7"/>
          <w:sz w:val="20"/>
          <w:szCs w:val="20"/>
          <w:lang w:eastAsia="zh-CN"/>
        </w:rPr>
        <w:t>质量控制</w:t>
      </w:r>
      <w:bookmarkEnd w:id="53"/>
    </w:p>
    <w:p w14:paraId="02E3893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影像测量应满足：</w:t>
      </w:r>
    </w:p>
    <w:p w14:paraId="6E14C9F7">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组内相关系数（</w:t>
      </w:r>
      <w:r>
        <w:rPr>
          <w:rFonts w:ascii="宋体" w:hAnsi="宋体" w:eastAsia="宋体" w:cs="宋体"/>
          <w:spacing w:val="9"/>
          <w:sz w:val="21"/>
          <w:szCs w:val="21"/>
          <w:lang w:eastAsia="zh-CN"/>
        </w:rPr>
        <w:t>ICC</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0.8</w:t>
      </w:r>
      <w:r>
        <w:rPr>
          <w:rFonts w:hint="eastAsia" w:ascii="宋体" w:hAnsi="宋体" w:eastAsia="宋体" w:cs="宋体"/>
          <w:spacing w:val="9"/>
          <w:sz w:val="21"/>
          <w:szCs w:val="21"/>
          <w:lang w:eastAsia="zh-CN"/>
        </w:rPr>
        <w:t>；</w:t>
      </w:r>
    </w:p>
    <w:p w14:paraId="15702D1C">
      <w:pPr>
        <w:spacing w:before="23" w:line="360" w:lineRule="auto"/>
        <w:ind w:left="426"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由两名医师独立测量，差异＞</w:t>
      </w:r>
      <w:r>
        <w:rPr>
          <w:rFonts w:ascii="宋体" w:hAnsi="宋体" w:eastAsia="宋体" w:cs="宋体"/>
          <w:spacing w:val="9"/>
          <w:sz w:val="21"/>
          <w:szCs w:val="21"/>
          <w:lang w:eastAsia="zh-CN"/>
        </w:rPr>
        <w:t>5%</w:t>
      </w:r>
      <w:r>
        <w:rPr>
          <w:rFonts w:hint="eastAsia" w:ascii="宋体" w:hAnsi="宋体" w:eastAsia="宋体" w:cs="宋体"/>
          <w:spacing w:val="9"/>
          <w:sz w:val="21"/>
          <w:szCs w:val="21"/>
          <w:lang w:eastAsia="zh-CN"/>
        </w:rPr>
        <w:t>时进行第三方复核。</w:t>
      </w:r>
      <w:r>
        <w:rPr>
          <w:rFonts w:ascii="宋体" w:hAnsi="宋体" w:eastAsia="宋体" w:cs="宋体"/>
          <w:spacing w:val="9"/>
          <w:sz w:val="21"/>
          <w:szCs w:val="21"/>
          <w:lang w:eastAsia="zh-CN"/>
        </w:rPr>
        <w:t xml:space="preserve"> </w:t>
      </w:r>
    </w:p>
    <w:p w14:paraId="2E94FCA6">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b) FACE-Q</w:t>
      </w:r>
      <w:r>
        <w:rPr>
          <w:rFonts w:hint="eastAsia" w:ascii="宋体" w:hAnsi="宋体" w:eastAsia="宋体" w:cs="宋体"/>
          <w:spacing w:val="9"/>
          <w:sz w:val="21"/>
          <w:szCs w:val="21"/>
          <w:lang w:eastAsia="zh-CN"/>
        </w:rPr>
        <w:t>量表</w:t>
      </w:r>
      <w:r>
        <w:rPr>
          <w:rFonts w:hint="eastAsia" w:ascii="宋体" w:hAnsi="宋体" w:eastAsia="宋体" w:cs="宋体"/>
          <w:spacing w:val="9"/>
          <w:sz w:val="21"/>
          <w:szCs w:val="21"/>
          <w:highlight w:val="yellow"/>
          <w:lang w:eastAsia="zh-CN"/>
        </w:rPr>
        <w:t>施测</w:t>
      </w:r>
      <w:r>
        <w:rPr>
          <w:rFonts w:hint="eastAsia" w:ascii="宋体" w:hAnsi="宋体" w:eastAsia="宋体" w:cs="宋体"/>
          <w:spacing w:val="9"/>
          <w:sz w:val="21"/>
          <w:szCs w:val="21"/>
          <w:lang w:eastAsia="zh-CN"/>
        </w:rPr>
        <w:t>人员应经统一培训，一致性</w:t>
      </w:r>
      <w:r>
        <w:rPr>
          <w:rFonts w:ascii="宋体" w:hAnsi="宋体" w:eastAsia="宋体" w:cs="宋体"/>
          <w:spacing w:val="9"/>
          <w:sz w:val="21"/>
          <w:szCs w:val="21"/>
          <w:lang w:eastAsia="zh-CN"/>
        </w:rPr>
        <w:t>Kappa</w:t>
      </w:r>
      <w:r>
        <w:rPr>
          <w:rFonts w:hint="eastAsia" w:ascii="宋体" w:hAnsi="宋体" w:eastAsia="宋体" w:cs="宋体"/>
          <w:spacing w:val="9"/>
          <w:sz w:val="21"/>
          <w:szCs w:val="21"/>
          <w:lang w:eastAsia="zh-CN"/>
        </w:rPr>
        <w:t>值≥</w:t>
      </w:r>
      <w:r>
        <w:rPr>
          <w:rFonts w:ascii="宋体" w:hAnsi="宋体" w:eastAsia="宋体" w:cs="宋体"/>
          <w:spacing w:val="9"/>
          <w:sz w:val="21"/>
          <w:szCs w:val="21"/>
          <w:lang w:eastAsia="zh-CN"/>
        </w:rPr>
        <w:t>0.75</w:t>
      </w:r>
      <w:r>
        <w:rPr>
          <w:rFonts w:hint="eastAsia" w:ascii="宋体" w:hAnsi="宋体" w:eastAsia="宋体" w:cs="宋体"/>
          <w:spacing w:val="9"/>
          <w:sz w:val="21"/>
          <w:szCs w:val="21"/>
          <w:lang w:eastAsia="zh-CN"/>
        </w:rPr>
        <w:t>。</w:t>
      </w:r>
    </w:p>
    <w:p w14:paraId="24AD36B6">
      <w:pPr>
        <w:pStyle w:val="5"/>
        <w:numPr>
          <w:ilvl w:val="1"/>
          <w:numId w:val="1"/>
        </w:numPr>
        <w:spacing w:before="265" w:line="360" w:lineRule="auto"/>
        <w:outlineLvl w:val="0"/>
        <w:rPr>
          <w:rFonts w:hint="eastAsia"/>
          <w:spacing w:val="7"/>
          <w:sz w:val="20"/>
          <w:szCs w:val="20"/>
          <w:lang w:eastAsia="zh-CN"/>
        </w:rPr>
      </w:pPr>
      <w:bookmarkStart w:id="54" w:name="_Toc215049748"/>
      <w:r>
        <w:rPr>
          <w:rFonts w:hint="eastAsia"/>
          <w:spacing w:val="7"/>
          <w:sz w:val="20"/>
          <w:szCs w:val="20"/>
          <w:lang w:eastAsia="zh-CN"/>
        </w:rPr>
        <w:t>数据保存</w:t>
      </w:r>
      <w:bookmarkEnd w:id="54"/>
    </w:p>
    <w:p w14:paraId="2E171B02">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原始数据应保存至临床试验结束后5年，包括：</w:t>
      </w:r>
      <w:r>
        <w:rPr>
          <w:rFonts w:ascii="宋体" w:hAnsi="宋体" w:eastAsia="宋体" w:cs="宋体"/>
          <w:spacing w:val="9"/>
          <w:sz w:val="21"/>
          <w:szCs w:val="21"/>
          <w:lang w:eastAsia="zh-CN"/>
        </w:rPr>
        <w:t xml:space="preserve"> </w:t>
      </w:r>
    </w:p>
    <w:p w14:paraId="46335243">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影像学原始数据（</w:t>
      </w:r>
      <w:r>
        <w:rPr>
          <w:rFonts w:ascii="宋体" w:hAnsi="宋体" w:eastAsia="宋体" w:cs="宋体"/>
          <w:spacing w:val="9"/>
          <w:sz w:val="21"/>
          <w:szCs w:val="21"/>
          <w:lang w:eastAsia="zh-CN"/>
        </w:rPr>
        <w:t>DICOM</w:t>
      </w:r>
      <w:r>
        <w:rPr>
          <w:rFonts w:hint="eastAsia" w:ascii="宋体" w:hAnsi="宋体" w:eastAsia="宋体" w:cs="宋体"/>
          <w:spacing w:val="9"/>
          <w:sz w:val="21"/>
          <w:szCs w:val="21"/>
          <w:lang w:eastAsia="zh-CN"/>
        </w:rPr>
        <w:t>文件）；</w:t>
      </w:r>
      <w:r>
        <w:rPr>
          <w:rFonts w:ascii="宋体" w:hAnsi="宋体" w:eastAsia="宋体" w:cs="宋体"/>
          <w:spacing w:val="9"/>
          <w:sz w:val="21"/>
          <w:szCs w:val="21"/>
          <w:lang w:eastAsia="zh-CN"/>
        </w:rPr>
        <w:t xml:space="preserve"> </w:t>
      </w:r>
    </w:p>
    <w:p w14:paraId="087967BB">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b) 3D</w:t>
      </w:r>
      <w:r>
        <w:rPr>
          <w:rFonts w:hint="eastAsia" w:ascii="宋体" w:hAnsi="宋体" w:eastAsia="宋体" w:cs="宋体"/>
          <w:spacing w:val="9"/>
          <w:sz w:val="21"/>
          <w:szCs w:val="21"/>
          <w:lang w:eastAsia="zh-CN"/>
        </w:rPr>
        <w:t>扫描原始模型；</w:t>
      </w:r>
    </w:p>
    <w:p w14:paraId="38EC4D89">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c) FACE-Q</w:t>
      </w:r>
      <w:r>
        <w:rPr>
          <w:rFonts w:hint="eastAsia" w:ascii="宋体" w:hAnsi="宋体" w:eastAsia="宋体" w:cs="宋体"/>
          <w:spacing w:val="9"/>
          <w:sz w:val="21"/>
          <w:szCs w:val="21"/>
          <w:lang w:eastAsia="zh-CN"/>
        </w:rPr>
        <w:t>量表原始记录；</w:t>
      </w:r>
      <w:r>
        <w:rPr>
          <w:rFonts w:ascii="宋体" w:hAnsi="宋体" w:eastAsia="宋体" w:cs="宋体"/>
          <w:spacing w:val="9"/>
          <w:sz w:val="21"/>
          <w:szCs w:val="21"/>
          <w:lang w:eastAsia="zh-CN"/>
        </w:rPr>
        <w:t xml:space="preserve"> </w:t>
      </w:r>
    </w:p>
    <w:p w14:paraId="2418A5C2">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d) </w:t>
      </w:r>
      <w:r>
        <w:rPr>
          <w:rFonts w:hint="eastAsia" w:ascii="宋体" w:hAnsi="宋体" w:eastAsia="宋体" w:cs="宋体"/>
          <w:spacing w:val="9"/>
          <w:sz w:val="21"/>
          <w:szCs w:val="21"/>
          <w:lang w:eastAsia="zh-CN"/>
        </w:rPr>
        <w:t>临床检查记录表。</w:t>
      </w:r>
    </w:p>
    <w:p w14:paraId="609BBB72">
      <w:pPr>
        <w:pStyle w:val="5"/>
        <w:numPr>
          <w:ilvl w:val="0"/>
          <w:numId w:val="1"/>
        </w:numPr>
        <w:spacing w:before="265" w:line="360" w:lineRule="auto"/>
        <w:outlineLvl w:val="0"/>
        <w:rPr>
          <w:rFonts w:hint="eastAsia"/>
          <w:spacing w:val="7"/>
          <w:sz w:val="20"/>
          <w:szCs w:val="20"/>
          <w:lang w:eastAsia="zh-CN"/>
        </w:rPr>
      </w:pPr>
      <w:bookmarkStart w:id="55" w:name="_Toc215049749"/>
      <w:r>
        <w:rPr>
          <w:rFonts w:hint="eastAsia"/>
          <w:spacing w:val="7"/>
          <w:sz w:val="20"/>
          <w:szCs w:val="20"/>
          <w:lang w:eastAsia="zh-CN"/>
        </w:rPr>
        <w:t>记录与报告</w:t>
      </w:r>
      <w:bookmarkEnd w:id="55"/>
    </w:p>
    <w:p w14:paraId="5172F88D">
      <w:pPr>
        <w:pStyle w:val="5"/>
        <w:numPr>
          <w:ilvl w:val="1"/>
          <w:numId w:val="1"/>
        </w:numPr>
        <w:spacing w:before="265" w:line="360" w:lineRule="auto"/>
        <w:outlineLvl w:val="0"/>
        <w:rPr>
          <w:rFonts w:hint="eastAsia"/>
          <w:spacing w:val="7"/>
          <w:sz w:val="20"/>
          <w:szCs w:val="20"/>
          <w:lang w:eastAsia="zh-CN"/>
        </w:rPr>
      </w:pPr>
      <w:bookmarkStart w:id="56" w:name="_Toc215049750"/>
      <w:r>
        <w:rPr>
          <w:rFonts w:hint="eastAsia"/>
          <w:spacing w:val="7"/>
          <w:sz w:val="20"/>
          <w:szCs w:val="20"/>
          <w:lang w:eastAsia="zh-CN"/>
        </w:rPr>
        <w:t>记录要求</w:t>
      </w:r>
      <w:bookmarkEnd w:id="56"/>
      <w:bookmarkStart w:id="62" w:name="_GoBack"/>
      <w:bookmarkEnd w:id="62"/>
    </w:p>
    <w:p w14:paraId="05C9704D">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每次随访应记录：</w:t>
      </w:r>
      <w:r>
        <w:rPr>
          <w:rFonts w:ascii="宋体" w:hAnsi="宋体" w:eastAsia="宋体" w:cs="宋体"/>
          <w:spacing w:val="9"/>
          <w:sz w:val="21"/>
          <w:szCs w:val="21"/>
          <w:lang w:eastAsia="zh-CN"/>
        </w:rPr>
        <w:t xml:space="preserve"> </w:t>
      </w:r>
    </w:p>
    <w:p w14:paraId="60C47013">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患者</w:t>
      </w:r>
      <w:r>
        <w:rPr>
          <w:rFonts w:ascii="宋体" w:hAnsi="宋体" w:eastAsia="宋体" w:cs="宋体"/>
          <w:spacing w:val="9"/>
          <w:sz w:val="21"/>
          <w:szCs w:val="21"/>
          <w:lang w:eastAsia="zh-CN"/>
        </w:rPr>
        <w:t>ID</w:t>
      </w:r>
      <w:r>
        <w:rPr>
          <w:rFonts w:hint="eastAsia" w:ascii="宋体" w:hAnsi="宋体" w:eastAsia="宋体" w:cs="宋体"/>
          <w:spacing w:val="9"/>
          <w:sz w:val="21"/>
          <w:szCs w:val="21"/>
          <w:lang w:eastAsia="zh-CN"/>
        </w:rPr>
        <w:t>、随访时间点；</w:t>
      </w:r>
      <w:r>
        <w:rPr>
          <w:rFonts w:ascii="宋体" w:hAnsi="宋体" w:eastAsia="宋体" w:cs="宋体"/>
          <w:spacing w:val="9"/>
          <w:sz w:val="21"/>
          <w:szCs w:val="21"/>
          <w:lang w:eastAsia="zh-CN"/>
        </w:rPr>
        <w:t xml:space="preserve"> </w:t>
      </w:r>
    </w:p>
    <w:p w14:paraId="5787E9E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临床检查结果（含标准化照片）；</w:t>
      </w:r>
      <w:r>
        <w:rPr>
          <w:rFonts w:ascii="宋体" w:hAnsi="宋体" w:eastAsia="宋体" w:cs="宋体"/>
          <w:spacing w:val="9"/>
          <w:sz w:val="21"/>
          <w:szCs w:val="21"/>
          <w:lang w:eastAsia="zh-CN"/>
        </w:rPr>
        <w:t xml:space="preserve"> </w:t>
      </w:r>
    </w:p>
    <w:p w14:paraId="0FE15328">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c) </w:t>
      </w:r>
      <w:r>
        <w:rPr>
          <w:rFonts w:hint="eastAsia" w:ascii="宋体" w:hAnsi="宋体" w:eastAsia="宋体" w:cs="宋体"/>
          <w:spacing w:val="9"/>
          <w:sz w:val="21"/>
          <w:szCs w:val="21"/>
          <w:lang w:eastAsia="zh-CN"/>
        </w:rPr>
        <w:t>影像学测量数据（含</w:t>
      </w:r>
      <w:r>
        <w:rPr>
          <w:rFonts w:ascii="宋体" w:hAnsi="宋体" w:eastAsia="宋体" w:cs="宋体"/>
          <w:spacing w:val="9"/>
          <w:sz w:val="21"/>
          <w:szCs w:val="21"/>
          <w:lang w:eastAsia="zh-CN"/>
        </w:rPr>
        <w:t>HRCT</w:t>
      </w:r>
      <w:r>
        <w:rPr>
          <w:rFonts w:hint="eastAsia" w:ascii="宋体" w:hAnsi="宋体" w:eastAsia="宋体" w:cs="宋体"/>
          <w:spacing w:val="9"/>
          <w:sz w:val="21"/>
          <w:szCs w:val="21"/>
          <w:lang w:eastAsia="zh-CN"/>
        </w:rPr>
        <w:t>体积、</w:t>
      </w:r>
      <w:r>
        <w:rPr>
          <w:rFonts w:ascii="宋体" w:hAnsi="宋体" w:eastAsia="宋体" w:cs="宋体"/>
          <w:spacing w:val="9"/>
          <w:sz w:val="21"/>
          <w:szCs w:val="21"/>
          <w:lang w:eastAsia="zh-CN"/>
        </w:rPr>
        <w:t>3D</w:t>
      </w:r>
      <w:r>
        <w:rPr>
          <w:rFonts w:hint="eastAsia" w:ascii="宋体" w:hAnsi="宋体" w:eastAsia="宋体" w:cs="宋体"/>
          <w:spacing w:val="9"/>
          <w:sz w:val="21"/>
          <w:szCs w:val="21"/>
          <w:lang w:eastAsia="zh-CN"/>
        </w:rPr>
        <w:t>对称性指数）；</w:t>
      </w:r>
      <w:r>
        <w:rPr>
          <w:rFonts w:ascii="宋体" w:hAnsi="宋体" w:eastAsia="宋体" w:cs="宋体"/>
          <w:spacing w:val="9"/>
          <w:sz w:val="21"/>
          <w:szCs w:val="21"/>
          <w:lang w:eastAsia="zh-CN"/>
        </w:rPr>
        <w:t xml:space="preserve"> </w:t>
      </w:r>
    </w:p>
    <w:p w14:paraId="797750B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d) FACE-Q</w:t>
      </w:r>
      <w:r>
        <w:rPr>
          <w:rFonts w:hint="eastAsia" w:ascii="宋体" w:hAnsi="宋体" w:eastAsia="宋体" w:cs="宋体"/>
          <w:spacing w:val="9"/>
          <w:sz w:val="21"/>
          <w:szCs w:val="21"/>
          <w:lang w:eastAsia="zh-CN"/>
        </w:rPr>
        <w:t>评分结果；</w:t>
      </w:r>
      <w:r>
        <w:rPr>
          <w:rFonts w:ascii="宋体" w:hAnsi="宋体" w:eastAsia="宋体" w:cs="宋体"/>
          <w:spacing w:val="9"/>
          <w:sz w:val="21"/>
          <w:szCs w:val="21"/>
          <w:lang w:eastAsia="zh-CN"/>
        </w:rPr>
        <w:t xml:space="preserve"> </w:t>
      </w:r>
    </w:p>
    <w:p w14:paraId="42B627E4">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e) </w:t>
      </w:r>
      <w:r>
        <w:rPr>
          <w:rFonts w:hint="eastAsia" w:ascii="宋体" w:hAnsi="宋体" w:eastAsia="宋体" w:cs="宋体"/>
          <w:spacing w:val="9"/>
          <w:sz w:val="21"/>
          <w:szCs w:val="21"/>
          <w:lang w:eastAsia="zh-CN"/>
        </w:rPr>
        <w:t>不良事件详情及与器械相关性判定。</w:t>
      </w:r>
    </w:p>
    <w:p w14:paraId="61253A88">
      <w:pPr>
        <w:pStyle w:val="5"/>
        <w:numPr>
          <w:ilvl w:val="1"/>
          <w:numId w:val="1"/>
        </w:numPr>
        <w:spacing w:before="265" w:line="360" w:lineRule="auto"/>
        <w:outlineLvl w:val="0"/>
        <w:rPr>
          <w:rFonts w:hint="eastAsia"/>
          <w:spacing w:val="7"/>
          <w:sz w:val="20"/>
          <w:szCs w:val="20"/>
          <w:lang w:eastAsia="zh-CN"/>
        </w:rPr>
      </w:pPr>
      <w:bookmarkStart w:id="57" w:name="_Toc215049751"/>
      <w:r>
        <w:rPr>
          <w:rFonts w:hint="eastAsia"/>
          <w:spacing w:val="7"/>
          <w:sz w:val="20"/>
          <w:szCs w:val="20"/>
          <w:lang w:eastAsia="zh-CN"/>
        </w:rPr>
        <w:t>评估报告</w:t>
      </w:r>
      <w:bookmarkEnd w:id="57"/>
    </w:p>
    <w:p w14:paraId="34CE2CC0">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年度评估报告应包含：</w:t>
      </w:r>
      <w:r>
        <w:rPr>
          <w:rFonts w:ascii="宋体" w:hAnsi="宋体" w:eastAsia="宋体" w:cs="宋体"/>
          <w:spacing w:val="9"/>
          <w:sz w:val="21"/>
          <w:szCs w:val="21"/>
          <w:lang w:eastAsia="zh-CN"/>
        </w:rPr>
        <w:t xml:space="preserve"> </w:t>
      </w:r>
    </w:p>
    <w:p w14:paraId="2804D859">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a) </w:t>
      </w:r>
      <w:r>
        <w:rPr>
          <w:rFonts w:hint="eastAsia" w:ascii="宋体" w:hAnsi="宋体" w:eastAsia="宋体" w:cs="宋体"/>
          <w:spacing w:val="9"/>
          <w:sz w:val="21"/>
          <w:szCs w:val="21"/>
          <w:lang w:eastAsia="zh-CN"/>
        </w:rPr>
        <w:t>患者入组及随访情况（含失访率）；</w:t>
      </w:r>
      <w:r>
        <w:rPr>
          <w:rFonts w:ascii="宋体" w:hAnsi="宋体" w:eastAsia="宋体" w:cs="宋体"/>
          <w:spacing w:val="9"/>
          <w:sz w:val="21"/>
          <w:szCs w:val="21"/>
          <w:lang w:eastAsia="zh-CN"/>
        </w:rPr>
        <w:t xml:space="preserve"> </w:t>
      </w:r>
    </w:p>
    <w:p w14:paraId="7CAFD12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b) </w:t>
      </w:r>
      <w:r>
        <w:rPr>
          <w:rFonts w:hint="eastAsia" w:ascii="宋体" w:hAnsi="宋体" w:eastAsia="宋体" w:cs="宋体"/>
          <w:spacing w:val="9"/>
          <w:sz w:val="21"/>
          <w:szCs w:val="21"/>
          <w:lang w:eastAsia="zh-CN"/>
        </w:rPr>
        <w:t>各评估指标达标率（按</w:t>
      </w:r>
      <w:r>
        <w:rPr>
          <w:rFonts w:ascii="宋体" w:hAnsi="宋体" w:eastAsia="宋体" w:cs="宋体"/>
          <w:spacing w:val="9"/>
          <w:sz w:val="21"/>
          <w:szCs w:val="21"/>
          <w:lang w:eastAsia="zh-CN"/>
        </w:rPr>
        <w:t>6.1-6.4</w:t>
      </w:r>
      <w:r>
        <w:rPr>
          <w:rFonts w:hint="eastAsia" w:ascii="宋体" w:hAnsi="宋体" w:eastAsia="宋体" w:cs="宋体"/>
          <w:spacing w:val="9"/>
          <w:sz w:val="21"/>
          <w:szCs w:val="21"/>
          <w:lang w:eastAsia="zh-CN"/>
        </w:rPr>
        <w:t>）；</w:t>
      </w:r>
    </w:p>
    <w:p w14:paraId="7945F4C5">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c) </w:t>
      </w:r>
      <w:r>
        <w:rPr>
          <w:rFonts w:hint="eastAsia" w:ascii="宋体" w:hAnsi="宋体" w:eastAsia="宋体" w:cs="宋体"/>
          <w:spacing w:val="9"/>
          <w:sz w:val="21"/>
          <w:szCs w:val="21"/>
          <w:lang w:eastAsia="zh-CN"/>
        </w:rPr>
        <w:t>严重不良事件列表及分析；</w:t>
      </w:r>
      <w:r>
        <w:rPr>
          <w:rFonts w:ascii="宋体" w:hAnsi="宋体" w:eastAsia="宋体" w:cs="宋体"/>
          <w:spacing w:val="9"/>
          <w:sz w:val="21"/>
          <w:szCs w:val="21"/>
          <w:lang w:eastAsia="zh-CN"/>
        </w:rPr>
        <w:t xml:space="preserve"> </w:t>
      </w:r>
    </w:p>
    <w:p w14:paraId="33CFAC47">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d) </w:t>
      </w:r>
      <w:r>
        <w:rPr>
          <w:rFonts w:hint="eastAsia" w:ascii="宋体" w:hAnsi="宋体" w:eastAsia="宋体" w:cs="宋体"/>
          <w:spacing w:val="9"/>
          <w:sz w:val="21"/>
          <w:szCs w:val="21"/>
          <w:lang w:eastAsia="zh-CN"/>
        </w:rPr>
        <w:t>长期稳定性判定结果（按</w:t>
      </w:r>
      <w:r>
        <w:rPr>
          <w:rFonts w:ascii="宋体" w:hAnsi="宋体" w:eastAsia="宋体" w:cs="宋体"/>
          <w:spacing w:val="9"/>
          <w:sz w:val="21"/>
          <w:szCs w:val="21"/>
          <w:lang w:eastAsia="zh-CN"/>
        </w:rPr>
        <w:t>6.5</w:t>
      </w:r>
      <w:r>
        <w:rPr>
          <w:rFonts w:hint="eastAsia" w:ascii="宋体" w:hAnsi="宋体" w:eastAsia="宋体" w:cs="宋体"/>
          <w:spacing w:val="9"/>
          <w:sz w:val="21"/>
          <w:szCs w:val="21"/>
          <w:lang w:eastAsia="zh-CN"/>
        </w:rPr>
        <w:t>）；</w:t>
      </w:r>
      <w:r>
        <w:rPr>
          <w:rFonts w:ascii="宋体" w:hAnsi="宋体" w:eastAsia="宋体" w:cs="宋体"/>
          <w:spacing w:val="9"/>
          <w:sz w:val="21"/>
          <w:szCs w:val="21"/>
          <w:lang w:eastAsia="zh-CN"/>
        </w:rPr>
        <w:t xml:space="preserve"> </w:t>
      </w:r>
    </w:p>
    <w:p w14:paraId="43F9E82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 xml:space="preserve">e) </w:t>
      </w:r>
      <w:r>
        <w:rPr>
          <w:rFonts w:hint="eastAsia" w:ascii="宋体" w:hAnsi="宋体" w:eastAsia="宋体" w:cs="宋体"/>
          <w:spacing w:val="9"/>
          <w:sz w:val="21"/>
          <w:szCs w:val="21"/>
          <w:lang w:eastAsia="zh-CN"/>
        </w:rPr>
        <w:t>问题与改进建议。</w:t>
      </w:r>
    </w:p>
    <w:p w14:paraId="606175AE">
      <w:pPr>
        <w:spacing w:before="23" w:line="360" w:lineRule="auto"/>
        <w:ind w:left="11" w:right="58" w:firstLine="417"/>
        <w:rPr>
          <w:rFonts w:hint="eastAsia" w:ascii="宋体" w:hAnsi="宋体" w:eastAsia="宋体" w:cs="宋体"/>
          <w:spacing w:val="9"/>
          <w:sz w:val="20"/>
          <w:szCs w:val="20"/>
          <w:lang w:eastAsia="zh-CN"/>
        </w:rPr>
      </w:pPr>
    </w:p>
    <w:p w14:paraId="2F9561DA">
      <w:pPr>
        <w:spacing w:before="142" w:line="360" w:lineRule="auto"/>
        <w:ind w:right="73"/>
        <w:rPr>
          <w:rFonts w:eastAsiaTheme="minorEastAsia"/>
          <w:sz w:val="20"/>
          <w:szCs w:val="20"/>
          <w:lang w:eastAsia="zh-CN"/>
        </w:rPr>
      </w:pPr>
      <w:r>
        <w:rPr>
          <w:rFonts w:eastAsiaTheme="minorEastAsia"/>
          <w:sz w:val="20"/>
          <w:szCs w:val="20"/>
          <w:lang w:eastAsia="zh-CN"/>
        </w:rPr>
        <w:br w:type="page"/>
      </w:r>
    </w:p>
    <w:p w14:paraId="6DAF3347">
      <w:pPr>
        <w:spacing w:before="142" w:line="360" w:lineRule="auto"/>
        <w:ind w:right="73"/>
        <w:rPr>
          <w:rFonts w:eastAsiaTheme="minorEastAsia"/>
          <w:sz w:val="20"/>
          <w:szCs w:val="20"/>
          <w:lang w:eastAsia="zh-CN"/>
        </w:rPr>
      </w:pPr>
      <w:r>
        <w:rPr>
          <w:rFonts w:hint="eastAsia" w:eastAsiaTheme="minorEastAsia"/>
          <w:sz w:val="20"/>
          <w:szCs w:val="20"/>
          <w:lang w:eastAsia="zh-CN"/>
        </w:rPr>
        <w:t>附录</w:t>
      </w:r>
      <w:r>
        <w:rPr>
          <w:rFonts w:eastAsiaTheme="minorEastAsia"/>
          <w:sz w:val="20"/>
          <w:szCs w:val="20"/>
          <w:lang w:eastAsia="zh-CN"/>
        </w:rPr>
        <w:t>A</w:t>
      </w:r>
      <w:r>
        <w:rPr>
          <w:rFonts w:hint="eastAsia" w:eastAsiaTheme="minorEastAsia"/>
          <w:sz w:val="20"/>
          <w:szCs w:val="20"/>
          <w:lang w:eastAsia="zh-CN"/>
        </w:rPr>
        <w:t>（规范性）</w:t>
      </w:r>
    </w:p>
    <w:p w14:paraId="754F2F7D">
      <w:pPr>
        <w:spacing w:before="142" w:line="360" w:lineRule="auto"/>
        <w:ind w:right="73"/>
        <w:rPr>
          <w:rFonts w:eastAsiaTheme="minorEastAsia"/>
          <w:sz w:val="20"/>
          <w:szCs w:val="20"/>
          <w:lang w:eastAsia="zh-CN"/>
        </w:rPr>
      </w:pPr>
      <w:r>
        <w:rPr>
          <w:rFonts w:hint="eastAsia" w:eastAsiaTheme="minorEastAsia"/>
          <w:sz w:val="20"/>
          <w:szCs w:val="20"/>
          <w:lang w:eastAsia="zh-CN"/>
        </w:rPr>
        <w:t>体积测量与对称性指数计算方法</w:t>
      </w:r>
    </w:p>
    <w:p w14:paraId="79DDC29F">
      <w:pPr>
        <w:spacing w:before="142" w:line="360" w:lineRule="auto"/>
        <w:ind w:right="73"/>
        <w:rPr>
          <w:rFonts w:eastAsiaTheme="minorEastAsia"/>
          <w:sz w:val="20"/>
          <w:szCs w:val="20"/>
          <w:lang w:eastAsia="zh-CN"/>
        </w:rPr>
      </w:pPr>
      <w:r>
        <w:rPr>
          <w:rFonts w:eastAsiaTheme="minorEastAsia"/>
          <w:sz w:val="20"/>
          <w:szCs w:val="20"/>
          <w:lang w:eastAsia="zh-CN"/>
        </w:rPr>
        <w:t xml:space="preserve">A.1 </w:t>
      </w:r>
      <w:r>
        <w:rPr>
          <w:rFonts w:hint="eastAsia" w:eastAsiaTheme="minorEastAsia"/>
          <w:sz w:val="20"/>
          <w:szCs w:val="20"/>
          <w:lang w:eastAsia="zh-CN"/>
        </w:rPr>
        <w:t>体积测量方法</w:t>
      </w:r>
    </w:p>
    <w:p w14:paraId="4B804379">
      <w:pPr>
        <w:spacing w:before="142" w:line="360" w:lineRule="auto"/>
        <w:ind w:right="73"/>
        <w:rPr>
          <w:rFonts w:eastAsiaTheme="minorEastAsia"/>
          <w:sz w:val="20"/>
          <w:szCs w:val="20"/>
          <w:lang w:eastAsia="zh-CN"/>
        </w:rPr>
      </w:pPr>
      <w:r>
        <w:rPr>
          <w:rFonts w:eastAsiaTheme="minorEastAsia"/>
          <w:sz w:val="20"/>
          <w:szCs w:val="20"/>
          <w:lang w:eastAsia="zh-CN"/>
        </w:rPr>
        <w:t xml:space="preserve">a) </w:t>
      </w:r>
      <w:r>
        <w:rPr>
          <w:rFonts w:hint="eastAsia" w:eastAsiaTheme="minorEastAsia"/>
          <w:sz w:val="20"/>
          <w:szCs w:val="20"/>
          <w:lang w:eastAsia="zh-CN"/>
        </w:rPr>
        <w:t>使用</w:t>
      </w:r>
      <w:r>
        <w:rPr>
          <w:rFonts w:eastAsiaTheme="minorEastAsia"/>
          <w:sz w:val="20"/>
          <w:szCs w:val="20"/>
          <w:lang w:eastAsia="zh-CN"/>
        </w:rPr>
        <w:t>Mimics Research 21.0</w:t>
      </w:r>
      <w:r>
        <w:rPr>
          <w:rFonts w:hint="eastAsia" w:eastAsiaTheme="minorEastAsia"/>
          <w:sz w:val="20"/>
          <w:szCs w:val="20"/>
          <w:lang w:eastAsia="zh-CN"/>
        </w:rPr>
        <w:t>软件对</w:t>
      </w:r>
      <w:r>
        <w:rPr>
          <w:rFonts w:eastAsiaTheme="minorEastAsia"/>
          <w:sz w:val="20"/>
          <w:szCs w:val="20"/>
          <w:lang w:eastAsia="zh-CN"/>
        </w:rPr>
        <w:t>HRCT</w:t>
      </w:r>
      <w:r>
        <w:rPr>
          <w:rFonts w:hint="eastAsia" w:eastAsiaTheme="minorEastAsia"/>
          <w:sz w:val="20"/>
          <w:szCs w:val="20"/>
          <w:lang w:eastAsia="zh-CN"/>
        </w:rPr>
        <w:t>数据进行处理；</w:t>
      </w:r>
      <w:r>
        <w:rPr>
          <w:rFonts w:eastAsiaTheme="minorEastAsia"/>
          <w:sz w:val="20"/>
          <w:szCs w:val="20"/>
          <w:lang w:eastAsia="zh-CN"/>
        </w:rPr>
        <w:t xml:space="preserve"> b) </w:t>
      </w:r>
      <w:r>
        <w:rPr>
          <w:rFonts w:hint="eastAsia" w:eastAsiaTheme="minorEastAsia"/>
          <w:sz w:val="20"/>
          <w:szCs w:val="20"/>
          <w:lang w:eastAsia="zh-CN"/>
        </w:rPr>
        <w:t>手动勾画软骨区域（</w:t>
      </w:r>
      <w:r>
        <w:rPr>
          <w:rFonts w:eastAsiaTheme="minorEastAsia"/>
          <w:sz w:val="20"/>
          <w:szCs w:val="20"/>
          <w:lang w:eastAsia="zh-CN"/>
        </w:rPr>
        <w:t>CT</w:t>
      </w:r>
      <w:r>
        <w:rPr>
          <w:rFonts w:hint="eastAsia" w:eastAsiaTheme="minorEastAsia"/>
          <w:sz w:val="20"/>
          <w:szCs w:val="20"/>
          <w:lang w:eastAsia="zh-CN"/>
        </w:rPr>
        <w:t>值：</w:t>
      </w:r>
      <w:r>
        <w:rPr>
          <w:rFonts w:eastAsiaTheme="minorEastAsia"/>
          <w:sz w:val="20"/>
          <w:szCs w:val="20"/>
          <w:lang w:eastAsia="zh-CN"/>
        </w:rPr>
        <w:t>-100</w:t>
      </w:r>
      <w:r>
        <w:rPr>
          <w:rFonts w:hint="eastAsia" w:eastAsiaTheme="minorEastAsia"/>
          <w:sz w:val="20"/>
          <w:szCs w:val="20"/>
          <w:lang w:eastAsia="zh-CN"/>
        </w:rPr>
        <w:t>至</w:t>
      </w:r>
      <w:r>
        <w:rPr>
          <w:rFonts w:eastAsiaTheme="minorEastAsia"/>
          <w:sz w:val="20"/>
          <w:szCs w:val="20"/>
          <w:lang w:eastAsia="zh-CN"/>
        </w:rPr>
        <w:t>+100 HU</w:t>
      </w:r>
      <w:r>
        <w:rPr>
          <w:rFonts w:hint="eastAsia" w:eastAsiaTheme="minorEastAsia"/>
          <w:sz w:val="20"/>
          <w:szCs w:val="20"/>
          <w:lang w:eastAsia="zh-CN"/>
        </w:rPr>
        <w:t>）；</w:t>
      </w:r>
      <w:r>
        <w:rPr>
          <w:rFonts w:eastAsiaTheme="minorEastAsia"/>
          <w:sz w:val="20"/>
          <w:szCs w:val="20"/>
          <w:lang w:eastAsia="zh-CN"/>
        </w:rPr>
        <w:t xml:space="preserve"> c) </w:t>
      </w:r>
      <w:r>
        <w:rPr>
          <w:rFonts w:hint="eastAsia" w:eastAsiaTheme="minorEastAsia"/>
          <w:sz w:val="20"/>
          <w:szCs w:val="20"/>
          <w:lang w:eastAsia="zh-CN"/>
        </w:rPr>
        <w:t>软件自动计算体积值，保留</w:t>
      </w:r>
      <w:r>
        <w:rPr>
          <w:rFonts w:eastAsiaTheme="minorEastAsia"/>
          <w:sz w:val="20"/>
          <w:szCs w:val="20"/>
          <w:lang w:eastAsia="zh-CN"/>
        </w:rPr>
        <w:t>1</w:t>
      </w:r>
      <w:r>
        <w:rPr>
          <w:rFonts w:hint="eastAsia" w:eastAsiaTheme="minorEastAsia"/>
          <w:sz w:val="20"/>
          <w:szCs w:val="20"/>
          <w:lang w:eastAsia="zh-CN"/>
        </w:rPr>
        <w:t>位小数。</w:t>
      </w:r>
    </w:p>
    <w:p w14:paraId="12A96096">
      <w:pPr>
        <w:spacing w:before="142" w:line="360" w:lineRule="auto"/>
        <w:ind w:right="73"/>
        <w:rPr>
          <w:rFonts w:eastAsiaTheme="minorEastAsia"/>
          <w:sz w:val="20"/>
          <w:szCs w:val="20"/>
          <w:lang w:eastAsia="zh-CN"/>
        </w:rPr>
      </w:pPr>
      <w:r>
        <w:rPr>
          <w:rFonts w:eastAsiaTheme="minorEastAsia"/>
          <w:sz w:val="20"/>
          <w:szCs w:val="20"/>
          <w:lang w:eastAsia="zh-CN"/>
        </w:rPr>
        <w:t xml:space="preserve">A.2 </w:t>
      </w:r>
      <w:r>
        <w:rPr>
          <w:rFonts w:hint="eastAsia" w:eastAsiaTheme="minorEastAsia"/>
          <w:sz w:val="20"/>
          <w:szCs w:val="20"/>
          <w:lang w:eastAsia="zh-CN"/>
        </w:rPr>
        <w:t>对称性指数计算</w:t>
      </w:r>
    </w:p>
    <w:p w14:paraId="06EB15FD">
      <w:pPr>
        <w:spacing w:before="142" w:line="360" w:lineRule="auto"/>
        <w:ind w:right="73"/>
        <w:rPr>
          <w:rFonts w:eastAsiaTheme="minorEastAsia"/>
          <w:sz w:val="20"/>
          <w:szCs w:val="20"/>
          <w:lang w:eastAsia="zh-CN"/>
        </w:rPr>
      </w:pPr>
      <w:r>
        <w:rPr>
          <w:rFonts w:eastAsiaTheme="minorEastAsia"/>
          <w:sz w:val="20"/>
          <w:szCs w:val="20"/>
          <w:lang w:eastAsia="zh-CN"/>
        </w:rPr>
        <w:t xml:space="preserve">a) </w:t>
      </w:r>
      <w:r>
        <w:rPr>
          <w:rFonts w:hint="eastAsia" w:eastAsiaTheme="minorEastAsia"/>
          <w:sz w:val="20"/>
          <w:szCs w:val="20"/>
          <w:lang w:eastAsia="zh-CN"/>
        </w:rPr>
        <w:t>耳廓重建：</w:t>
      </w:r>
      <w:r>
        <w:rPr>
          <w:rFonts w:eastAsiaTheme="minorEastAsia"/>
          <w:sz w:val="20"/>
          <w:szCs w:val="20"/>
          <w:lang w:eastAsia="zh-CN"/>
        </w:rPr>
        <w:t xml:space="preserve"> SI=min(HcontralateralHaffected,HaffectedHcontralateral) </w:t>
      </w:r>
      <w:r>
        <w:rPr>
          <w:rFonts w:hint="eastAsia" w:eastAsiaTheme="minorEastAsia"/>
          <w:sz w:val="20"/>
          <w:szCs w:val="20"/>
          <w:lang w:eastAsia="zh-CN"/>
        </w:rPr>
        <w:t>式中：</w:t>
      </w:r>
    </w:p>
    <w:p w14:paraId="03B746EF">
      <w:pPr>
        <w:spacing w:before="142" w:line="360" w:lineRule="auto"/>
        <w:ind w:right="73"/>
        <w:rPr>
          <w:rFonts w:eastAsiaTheme="minorEastAsia"/>
          <w:sz w:val="20"/>
          <w:szCs w:val="20"/>
          <w:lang w:eastAsia="zh-CN"/>
        </w:rPr>
      </w:pPr>
      <w:r>
        <w:rPr>
          <w:rFonts w:hint="eastAsia" w:eastAsiaTheme="minorEastAsia"/>
          <w:sz w:val="20"/>
          <w:szCs w:val="20"/>
          <w:lang w:eastAsia="zh-CN"/>
        </w:rPr>
        <w:t>•</w:t>
      </w:r>
      <w:r>
        <w:rPr>
          <w:rFonts w:eastAsiaTheme="minorEastAsia"/>
          <w:sz w:val="20"/>
          <w:szCs w:val="20"/>
          <w:lang w:eastAsia="zh-CN"/>
        </w:rPr>
        <w:tab/>
      </w:r>
      <w:r>
        <w:rPr>
          <w:rFonts w:eastAsiaTheme="minorEastAsia"/>
          <w:sz w:val="20"/>
          <w:szCs w:val="20"/>
          <w:lang w:eastAsia="zh-CN"/>
        </w:rPr>
        <w:t xml:space="preserve">SI —— </w:t>
      </w:r>
      <w:r>
        <w:rPr>
          <w:rFonts w:hint="eastAsia" w:eastAsiaTheme="minorEastAsia"/>
          <w:sz w:val="20"/>
          <w:szCs w:val="20"/>
          <w:lang w:eastAsia="zh-CN"/>
        </w:rPr>
        <w:t>对称性指数；</w:t>
      </w:r>
    </w:p>
    <w:p w14:paraId="2928DEE5">
      <w:pPr>
        <w:spacing w:before="142" w:line="360" w:lineRule="auto"/>
        <w:ind w:right="73"/>
        <w:rPr>
          <w:rFonts w:eastAsiaTheme="minorEastAsia"/>
          <w:sz w:val="20"/>
          <w:szCs w:val="20"/>
          <w:lang w:eastAsia="zh-CN"/>
        </w:rPr>
      </w:pPr>
      <w:r>
        <w:rPr>
          <w:rFonts w:hint="eastAsia" w:eastAsiaTheme="minorEastAsia"/>
          <w:sz w:val="20"/>
          <w:szCs w:val="20"/>
          <w:lang w:eastAsia="zh-CN"/>
        </w:rPr>
        <w:t>•</w:t>
      </w:r>
      <w:r>
        <w:rPr>
          <w:rFonts w:eastAsiaTheme="minorEastAsia"/>
          <w:sz w:val="20"/>
          <w:szCs w:val="20"/>
          <w:lang w:eastAsia="zh-CN"/>
        </w:rPr>
        <w:tab/>
      </w:r>
      <w:r>
        <w:rPr>
          <w:rFonts w:eastAsiaTheme="minorEastAsia"/>
          <w:sz w:val="20"/>
          <w:szCs w:val="20"/>
          <w:lang w:eastAsia="zh-CN"/>
        </w:rPr>
        <w:t xml:space="preserve">Haffected —— </w:t>
      </w:r>
      <w:r>
        <w:rPr>
          <w:rFonts w:hint="eastAsia" w:eastAsiaTheme="minorEastAsia"/>
          <w:sz w:val="20"/>
          <w:szCs w:val="20"/>
          <w:lang w:eastAsia="zh-CN"/>
        </w:rPr>
        <w:t>患侧耳廓高度；</w:t>
      </w:r>
    </w:p>
    <w:p w14:paraId="1FFBC724">
      <w:pPr>
        <w:spacing w:before="142" w:line="360" w:lineRule="auto"/>
        <w:ind w:right="73"/>
        <w:rPr>
          <w:rFonts w:eastAsiaTheme="minorEastAsia"/>
          <w:sz w:val="20"/>
          <w:szCs w:val="20"/>
          <w:lang w:eastAsia="zh-CN"/>
        </w:rPr>
      </w:pPr>
      <w:r>
        <w:rPr>
          <w:rFonts w:hint="eastAsia" w:eastAsiaTheme="minorEastAsia"/>
          <w:sz w:val="20"/>
          <w:szCs w:val="20"/>
          <w:lang w:eastAsia="zh-CN"/>
        </w:rPr>
        <w:t>•</w:t>
      </w:r>
      <w:r>
        <w:rPr>
          <w:rFonts w:eastAsiaTheme="minorEastAsia"/>
          <w:sz w:val="20"/>
          <w:szCs w:val="20"/>
          <w:lang w:eastAsia="zh-CN"/>
        </w:rPr>
        <w:tab/>
      </w:r>
      <w:r>
        <w:rPr>
          <w:rFonts w:eastAsiaTheme="minorEastAsia"/>
          <w:sz w:val="20"/>
          <w:szCs w:val="20"/>
          <w:lang w:eastAsia="zh-CN"/>
        </w:rPr>
        <w:t xml:space="preserve">Hcontralateral —— </w:t>
      </w:r>
      <w:r>
        <w:rPr>
          <w:rFonts w:hint="eastAsia" w:eastAsiaTheme="minorEastAsia"/>
          <w:sz w:val="20"/>
          <w:szCs w:val="20"/>
          <w:lang w:eastAsia="zh-CN"/>
        </w:rPr>
        <w:t>健侧耳廓高度。</w:t>
      </w:r>
      <w:r>
        <w:rPr>
          <w:rFonts w:eastAsiaTheme="minorEastAsia"/>
          <w:sz w:val="20"/>
          <w:szCs w:val="20"/>
          <w:lang w:eastAsia="zh-CN"/>
        </w:rPr>
        <w:t xml:space="preserve"> b) </w:t>
      </w:r>
      <w:r>
        <w:rPr>
          <w:rFonts w:hint="eastAsia" w:eastAsiaTheme="minorEastAsia"/>
          <w:sz w:val="20"/>
          <w:szCs w:val="20"/>
          <w:lang w:eastAsia="zh-CN"/>
        </w:rPr>
        <w:t>鼻部重建：</w:t>
      </w:r>
      <w:r>
        <w:rPr>
          <w:rFonts w:eastAsiaTheme="minorEastAsia"/>
          <w:sz w:val="20"/>
          <w:szCs w:val="20"/>
          <w:lang w:eastAsia="zh-CN"/>
        </w:rPr>
        <w:t xml:space="preserve"> SI=1−(Wleft+Wright)/2Wleft−Wright </w:t>
      </w:r>
      <w:r>
        <w:rPr>
          <w:rFonts w:hint="eastAsia" w:eastAsiaTheme="minorEastAsia"/>
          <w:sz w:val="20"/>
          <w:szCs w:val="20"/>
          <w:lang w:eastAsia="zh-CN"/>
        </w:rPr>
        <w:t>式中：</w:t>
      </w:r>
    </w:p>
    <w:p w14:paraId="191382A7">
      <w:pPr>
        <w:spacing w:before="142" w:line="360" w:lineRule="auto"/>
        <w:ind w:right="73"/>
        <w:rPr>
          <w:rFonts w:eastAsiaTheme="minorEastAsia"/>
          <w:sz w:val="20"/>
          <w:szCs w:val="20"/>
          <w:lang w:eastAsia="zh-CN"/>
        </w:rPr>
      </w:pPr>
      <w:r>
        <w:rPr>
          <w:rFonts w:hint="eastAsia" w:eastAsiaTheme="minorEastAsia"/>
          <w:sz w:val="20"/>
          <w:szCs w:val="20"/>
          <w:lang w:eastAsia="zh-CN"/>
        </w:rPr>
        <w:t>•</w:t>
      </w:r>
      <w:r>
        <w:rPr>
          <w:rFonts w:eastAsiaTheme="minorEastAsia"/>
          <w:sz w:val="20"/>
          <w:szCs w:val="20"/>
          <w:lang w:eastAsia="zh-CN"/>
        </w:rPr>
        <w:tab/>
      </w:r>
      <w:r>
        <w:rPr>
          <w:rFonts w:eastAsiaTheme="minorEastAsia"/>
          <w:sz w:val="20"/>
          <w:szCs w:val="20"/>
          <w:lang w:eastAsia="zh-CN"/>
        </w:rPr>
        <w:t xml:space="preserve">SI —— </w:t>
      </w:r>
      <w:r>
        <w:rPr>
          <w:rFonts w:hint="eastAsia" w:eastAsiaTheme="minorEastAsia"/>
          <w:sz w:val="20"/>
          <w:szCs w:val="20"/>
          <w:lang w:eastAsia="zh-CN"/>
        </w:rPr>
        <w:t>对称性指数；</w:t>
      </w:r>
    </w:p>
    <w:p w14:paraId="1C87FA97">
      <w:pPr>
        <w:spacing w:before="142" w:line="360" w:lineRule="auto"/>
        <w:ind w:right="73"/>
        <w:rPr>
          <w:rFonts w:eastAsiaTheme="minorEastAsia"/>
          <w:sz w:val="20"/>
          <w:szCs w:val="20"/>
          <w:lang w:eastAsia="zh-CN"/>
        </w:rPr>
      </w:pPr>
      <w:r>
        <w:rPr>
          <w:rFonts w:hint="eastAsia" w:eastAsiaTheme="minorEastAsia"/>
          <w:sz w:val="20"/>
          <w:szCs w:val="20"/>
          <w:lang w:eastAsia="zh-CN"/>
        </w:rPr>
        <w:t>•</w:t>
      </w:r>
      <w:r>
        <w:rPr>
          <w:rFonts w:eastAsiaTheme="minorEastAsia"/>
          <w:sz w:val="20"/>
          <w:szCs w:val="20"/>
          <w:lang w:eastAsia="zh-CN"/>
        </w:rPr>
        <w:tab/>
      </w:r>
      <w:r>
        <w:rPr>
          <w:rFonts w:eastAsiaTheme="minorEastAsia"/>
          <w:sz w:val="20"/>
          <w:szCs w:val="20"/>
          <w:lang w:eastAsia="zh-CN"/>
        </w:rPr>
        <w:t xml:space="preserve">Wleft —— </w:t>
      </w:r>
      <w:r>
        <w:rPr>
          <w:rFonts w:hint="eastAsia" w:eastAsiaTheme="minorEastAsia"/>
          <w:sz w:val="20"/>
          <w:szCs w:val="20"/>
          <w:lang w:eastAsia="zh-CN"/>
        </w:rPr>
        <w:t>左侧鼻底宽度；</w:t>
      </w:r>
    </w:p>
    <w:p w14:paraId="1FEC84A9">
      <w:pPr>
        <w:spacing w:before="142" w:line="360" w:lineRule="auto"/>
        <w:ind w:right="73"/>
        <w:rPr>
          <w:rFonts w:eastAsiaTheme="minorEastAsia"/>
          <w:sz w:val="20"/>
          <w:szCs w:val="20"/>
          <w:lang w:eastAsia="zh-CN"/>
        </w:rPr>
      </w:pPr>
      <w:r>
        <w:rPr>
          <w:rFonts w:hint="eastAsia" w:eastAsiaTheme="minorEastAsia"/>
          <w:sz w:val="20"/>
          <w:szCs w:val="20"/>
          <w:lang w:eastAsia="zh-CN"/>
        </w:rPr>
        <w:t>•</w:t>
      </w:r>
      <w:r>
        <w:rPr>
          <w:rFonts w:eastAsiaTheme="minorEastAsia"/>
          <w:sz w:val="20"/>
          <w:szCs w:val="20"/>
          <w:lang w:eastAsia="zh-CN"/>
        </w:rPr>
        <w:tab/>
      </w:r>
      <w:r>
        <w:rPr>
          <w:rFonts w:eastAsiaTheme="minorEastAsia"/>
          <w:sz w:val="20"/>
          <w:szCs w:val="20"/>
          <w:lang w:eastAsia="zh-CN"/>
        </w:rPr>
        <w:t xml:space="preserve">Wright —— </w:t>
      </w:r>
      <w:r>
        <w:rPr>
          <w:rFonts w:hint="eastAsia" w:eastAsiaTheme="minorEastAsia"/>
          <w:sz w:val="20"/>
          <w:szCs w:val="20"/>
          <w:lang w:eastAsia="zh-CN"/>
        </w:rPr>
        <w:t>右侧鼻底宽度。</w:t>
      </w:r>
    </w:p>
    <w:p w14:paraId="3972262E">
      <w:pPr>
        <w:spacing w:before="142" w:line="360" w:lineRule="auto"/>
        <w:ind w:right="73"/>
        <w:rPr>
          <w:rFonts w:eastAsiaTheme="minorEastAsia"/>
          <w:sz w:val="20"/>
          <w:szCs w:val="20"/>
          <w:lang w:eastAsia="zh-CN"/>
        </w:rPr>
      </w:pPr>
    </w:p>
    <w:p w14:paraId="19C8538E">
      <w:pPr>
        <w:spacing w:before="142" w:line="360" w:lineRule="auto"/>
        <w:ind w:right="73"/>
        <w:rPr>
          <w:rFonts w:eastAsiaTheme="minorEastAsia"/>
          <w:sz w:val="20"/>
          <w:szCs w:val="20"/>
          <w:lang w:eastAsia="zh-CN"/>
        </w:rPr>
      </w:pPr>
    </w:p>
    <w:p w14:paraId="3672CEE5">
      <w:pPr>
        <w:spacing w:before="142" w:line="360" w:lineRule="auto"/>
        <w:ind w:right="73"/>
        <w:rPr>
          <w:rFonts w:eastAsiaTheme="minorEastAsia"/>
          <w:sz w:val="20"/>
          <w:szCs w:val="20"/>
          <w:lang w:eastAsia="zh-CN"/>
        </w:rPr>
      </w:pPr>
      <w:r>
        <w:drawing>
          <wp:anchor distT="0" distB="0" distL="0" distR="0" simplePos="0" relativeHeight="251659264" behindDoc="0" locked="0" layoutInCell="1" allowOverlap="1">
            <wp:simplePos x="0" y="0"/>
            <wp:positionH relativeFrom="column">
              <wp:posOffset>1633220</wp:posOffset>
            </wp:positionH>
            <wp:positionV relativeFrom="paragraph">
              <wp:posOffset>1993265</wp:posOffset>
            </wp:positionV>
            <wp:extent cx="2023745" cy="1270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2023745" cy="12700"/>
                    </a:xfrm>
                    <a:prstGeom prst="rect">
                      <a:avLst/>
                    </a:prstGeom>
                  </pic:spPr>
                </pic:pic>
              </a:graphicData>
            </a:graphic>
          </wp:anchor>
        </w:drawing>
      </w:r>
      <w:bookmarkStart w:id="58" w:name="bookmark48"/>
      <w:bookmarkEnd w:id="58"/>
      <w:bookmarkStart w:id="59" w:name="bookmark47"/>
      <w:bookmarkEnd w:id="59"/>
      <w:bookmarkStart w:id="60" w:name="bookmark50"/>
      <w:bookmarkEnd w:id="60"/>
      <w:bookmarkStart w:id="61" w:name="bookmark49"/>
      <w:bookmarkEnd w:id="61"/>
    </w:p>
    <w:sectPr>
      <w:headerReference r:id="rId10" w:type="first"/>
      <w:footerReference r:id="rId13" w:type="first"/>
      <w:footerReference r:id="rId11" w:type="default"/>
      <w:footerReference r:id="rId12" w:type="even"/>
      <w:pgSz w:w="11906" w:h="16839"/>
      <w:pgMar w:top="1431" w:right="1785" w:bottom="1418" w:left="1785" w:header="850" w:footer="1134"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8415C">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D7E87">
    <w:pPr>
      <w:spacing w:line="230" w:lineRule="auto"/>
      <w:ind w:left="9050"/>
      <w:rPr>
        <w:rFonts w:hint="eastAsia" w:ascii="宋体" w:hAnsi="宋体" w:eastAsia="宋体" w:cs="宋体"/>
        <w:sz w:val="18"/>
        <w:szCs w:val="18"/>
      </w:rPr>
    </w:pPr>
    <w:r>
      <w:rPr>
        <w:rFonts w:ascii="宋体" w:hAnsi="宋体" w:eastAsia="宋体" w:cs="宋体"/>
        <w:sz w:val="18"/>
        <w:szCs w:val="18"/>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63DB3">
    <w:pPr>
      <w:pStyle w:val="6"/>
      <w:jc w:val="center"/>
    </w:pPr>
    <w:r>
      <w:rPr>
        <w:rFonts w:hint="eastAsia" w:ascii="宋体" w:hAnsi="宋体" w:eastAsia="宋体" w:cs="宋体"/>
        <w:lang w:eastAsia="zh-CN"/>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5E21D">
    <w:pPr>
      <w:spacing w:line="14" w:lineRule="auto"/>
      <w:ind w:firstLine="20" w:firstLineChars="100"/>
      <w:rPr>
        <w:sz w:val="2"/>
      </w:rPr>
    </w:pPr>
    <w:r>
      <w:rPr>
        <w:rFonts w:hint="eastAsia" w:ascii="宋体" w:hAnsi="宋体" w:eastAsia="宋体" w:cs="宋体"/>
        <w:sz w:val="2"/>
        <w:lang w:eastAsia="zh-CN"/>
      </w:rPr>
      <w:t>ⅡⅡ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CD830">
    <w:pPr>
      <w:spacing w:line="14" w:lineRule="auto"/>
      <w:ind w:firstLine="200" w:firstLineChars="100"/>
      <w:jc w:val="right"/>
      <w:rPr>
        <w:rFonts w:hint="eastAsia" w:ascii="宋体" w:hAnsi="宋体" w:eastAsia="宋体"/>
        <w:sz w:val="20"/>
        <w:szCs w:val="20"/>
      </w:rPr>
    </w:pPr>
    <w:r>
      <w:rPr>
        <w:rFonts w:hint="eastAsia" w:ascii="宋体" w:hAnsi="宋体" w:eastAsia="宋体" w:cs="宋体"/>
        <w:sz w:val="20"/>
        <w:szCs w:val="20"/>
        <w:lang w:eastAsia="zh-CN"/>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13A31">
    <w:pPr>
      <w:pStyle w:val="6"/>
      <w:jc w:val="right"/>
    </w:pPr>
    <w:r>
      <w:rPr>
        <w:rFonts w:hint="eastAsia" w:asciiTheme="minorEastAsia" w:hAnsiTheme="minorEastAsia" w:eastAsiaTheme="minorEastAsia"/>
        <w:lang w:eastAsia="zh-CN"/>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802195"/>
    </w:sdtPr>
    <w:sdtContent>
      <w:p w14:paraId="3CD93086">
        <w:pPr>
          <w:pStyle w:val="6"/>
          <w:jc w:val="right"/>
        </w:pPr>
        <w:r>
          <w:rPr>
            <w:rFonts w:hint="eastAsia" w:asciiTheme="minorEastAsia" w:hAnsiTheme="minorEastAsia" w:eastAsiaTheme="minorEastAsia"/>
            <w:lang w:eastAsia="zh-CN"/>
          </w:rPr>
          <w:t>1</w:t>
        </w:r>
      </w:p>
    </w:sdtContent>
  </w:sdt>
  <w:p w14:paraId="73275094">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3B73B">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692A833B">
    <w:pPr>
      <w:pStyle w:val="7"/>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B4280">
    <w:pPr>
      <w:spacing w:before="35" w:line="199" w:lineRule="auto"/>
      <w:ind w:right="824"/>
      <w:jc w:val="right"/>
      <w:rPr>
        <w:rFonts w:ascii="Times New Roman" w:hAnsi="Times New Roman" w:cs="Times New Roman" w:eastAsiaTheme="minorEastAsia"/>
        <w:sz w:val="20"/>
        <w:szCs w:val="20"/>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FD9CB">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40CBD0B0">
    <w:pPr>
      <w:pStyle w:val="7"/>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AFF49">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31A4B327">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451E67"/>
    <w:multiLevelType w:val="multilevel"/>
    <w:tmpl w:val="03451E67"/>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D327137"/>
    <w:multiLevelType w:val="multilevel"/>
    <w:tmpl w:val="0D327137"/>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2EE29A3"/>
    <w:multiLevelType w:val="multilevel"/>
    <w:tmpl w:val="52EE29A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7D21740"/>
    <w:multiLevelType w:val="multilevel"/>
    <w:tmpl w:val="77D2174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7A514264"/>
    <w:multiLevelType w:val="multilevel"/>
    <w:tmpl w:val="7A514264"/>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mirrorMargins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7C28E9"/>
    <w:rsid w:val="00001A36"/>
    <w:rsid w:val="00001F7C"/>
    <w:rsid w:val="0000290D"/>
    <w:rsid w:val="000118F8"/>
    <w:rsid w:val="00076082"/>
    <w:rsid w:val="000B7265"/>
    <w:rsid w:val="000C3835"/>
    <w:rsid w:val="000D61E3"/>
    <w:rsid w:val="000E137B"/>
    <w:rsid w:val="000E24E1"/>
    <w:rsid w:val="000E3AB6"/>
    <w:rsid w:val="000E6237"/>
    <w:rsid w:val="00105D70"/>
    <w:rsid w:val="001066BE"/>
    <w:rsid w:val="00114DDD"/>
    <w:rsid w:val="00167814"/>
    <w:rsid w:val="0017579E"/>
    <w:rsid w:val="001B370B"/>
    <w:rsid w:val="001C25A3"/>
    <w:rsid w:val="001D2C9C"/>
    <w:rsid w:val="001E2B6A"/>
    <w:rsid w:val="001E5DE2"/>
    <w:rsid w:val="001F7BE0"/>
    <w:rsid w:val="00225533"/>
    <w:rsid w:val="00241F47"/>
    <w:rsid w:val="00242D54"/>
    <w:rsid w:val="002667C1"/>
    <w:rsid w:val="00266A78"/>
    <w:rsid w:val="0027706D"/>
    <w:rsid w:val="0027778E"/>
    <w:rsid w:val="00277DD0"/>
    <w:rsid w:val="002A2985"/>
    <w:rsid w:val="002C51D3"/>
    <w:rsid w:val="002C763F"/>
    <w:rsid w:val="002E35A4"/>
    <w:rsid w:val="002E7992"/>
    <w:rsid w:val="0030031E"/>
    <w:rsid w:val="00315384"/>
    <w:rsid w:val="00317957"/>
    <w:rsid w:val="00333E8A"/>
    <w:rsid w:val="00356128"/>
    <w:rsid w:val="00357A0F"/>
    <w:rsid w:val="0037535D"/>
    <w:rsid w:val="003814A0"/>
    <w:rsid w:val="003A7807"/>
    <w:rsid w:val="003C0428"/>
    <w:rsid w:val="003D14BB"/>
    <w:rsid w:val="003E06A2"/>
    <w:rsid w:val="003F15EC"/>
    <w:rsid w:val="003F62DF"/>
    <w:rsid w:val="00456958"/>
    <w:rsid w:val="0046115E"/>
    <w:rsid w:val="00461977"/>
    <w:rsid w:val="004678B4"/>
    <w:rsid w:val="00490425"/>
    <w:rsid w:val="004A13CE"/>
    <w:rsid w:val="004A3128"/>
    <w:rsid w:val="004D354E"/>
    <w:rsid w:val="004F2E51"/>
    <w:rsid w:val="004F788E"/>
    <w:rsid w:val="005039F6"/>
    <w:rsid w:val="005125CC"/>
    <w:rsid w:val="00512CFD"/>
    <w:rsid w:val="00556F5E"/>
    <w:rsid w:val="00567C08"/>
    <w:rsid w:val="0057052B"/>
    <w:rsid w:val="005A684B"/>
    <w:rsid w:val="005B310E"/>
    <w:rsid w:val="005B3D57"/>
    <w:rsid w:val="005C1917"/>
    <w:rsid w:val="00616900"/>
    <w:rsid w:val="006239CC"/>
    <w:rsid w:val="00623F16"/>
    <w:rsid w:val="00630F2A"/>
    <w:rsid w:val="00633AB7"/>
    <w:rsid w:val="006418EF"/>
    <w:rsid w:val="00643C53"/>
    <w:rsid w:val="006444FB"/>
    <w:rsid w:val="00663808"/>
    <w:rsid w:val="00695EC0"/>
    <w:rsid w:val="006960A5"/>
    <w:rsid w:val="006A0E81"/>
    <w:rsid w:val="006B04E8"/>
    <w:rsid w:val="006D60C0"/>
    <w:rsid w:val="006E2070"/>
    <w:rsid w:val="006E76CA"/>
    <w:rsid w:val="00704F61"/>
    <w:rsid w:val="0070670F"/>
    <w:rsid w:val="00712B67"/>
    <w:rsid w:val="0071415F"/>
    <w:rsid w:val="00741F06"/>
    <w:rsid w:val="007471CC"/>
    <w:rsid w:val="007513BC"/>
    <w:rsid w:val="00760EE8"/>
    <w:rsid w:val="0077498E"/>
    <w:rsid w:val="00783E6E"/>
    <w:rsid w:val="00786E2C"/>
    <w:rsid w:val="0079467F"/>
    <w:rsid w:val="007A4F62"/>
    <w:rsid w:val="007C28E9"/>
    <w:rsid w:val="007C763D"/>
    <w:rsid w:val="007D22AF"/>
    <w:rsid w:val="007F49F6"/>
    <w:rsid w:val="0083279A"/>
    <w:rsid w:val="00872241"/>
    <w:rsid w:val="008739E4"/>
    <w:rsid w:val="008A2B12"/>
    <w:rsid w:val="008C1825"/>
    <w:rsid w:val="008E0B35"/>
    <w:rsid w:val="008F74E5"/>
    <w:rsid w:val="009250B2"/>
    <w:rsid w:val="00927C26"/>
    <w:rsid w:val="009314A8"/>
    <w:rsid w:val="009369F8"/>
    <w:rsid w:val="009400E7"/>
    <w:rsid w:val="009453C2"/>
    <w:rsid w:val="00951691"/>
    <w:rsid w:val="009710CD"/>
    <w:rsid w:val="00972B1B"/>
    <w:rsid w:val="00980149"/>
    <w:rsid w:val="00981A2D"/>
    <w:rsid w:val="009A5A87"/>
    <w:rsid w:val="009C7AF5"/>
    <w:rsid w:val="00A04287"/>
    <w:rsid w:val="00A22E85"/>
    <w:rsid w:val="00A34FAA"/>
    <w:rsid w:val="00A440EE"/>
    <w:rsid w:val="00A45B0C"/>
    <w:rsid w:val="00A45D20"/>
    <w:rsid w:val="00A65180"/>
    <w:rsid w:val="00A70AA4"/>
    <w:rsid w:val="00AA0FDE"/>
    <w:rsid w:val="00AB4783"/>
    <w:rsid w:val="00AC56CE"/>
    <w:rsid w:val="00AD724F"/>
    <w:rsid w:val="00AF4073"/>
    <w:rsid w:val="00B14967"/>
    <w:rsid w:val="00B3249B"/>
    <w:rsid w:val="00B96580"/>
    <w:rsid w:val="00BB0757"/>
    <w:rsid w:val="00BB1982"/>
    <w:rsid w:val="00BB3CE3"/>
    <w:rsid w:val="00BC54E3"/>
    <w:rsid w:val="00BC5B26"/>
    <w:rsid w:val="00BF03FA"/>
    <w:rsid w:val="00C0395F"/>
    <w:rsid w:val="00C31BB3"/>
    <w:rsid w:val="00C42376"/>
    <w:rsid w:val="00C4244D"/>
    <w:rsid w:val="00C451B4"/>
    <w:rsid w:val="00C5210E"/>
    <w:rsid w:val="00C52C0D"/>
    <w:rsid w:val="00C82ED3"/>
    <w:rsid w:val="00C97080"/>
    <w:rsid w:val="00CA1411"/>
    <w:rsid w:val="00CA1E30"/>
    <w:rsid w:val="00CA4E6F"/>
    <w:rsid w:val="00CC2F1A"/>
    <w:rsid w:val="00CD5100"/>
    <w:rsid w:val="00D30FE6"/>
    <w:rsid w:val="00D35912"/>
    <w:rsid w:val="00D504EB"/>
    <w:rsid w:val="00D56076"/>
    <w:rsid w:val="00D6490C"/>
    <w:rsid w:val="00D70887"/>
    <w:rsid w:val="00D82F6D"/>
    <w:rsid w:val="00D870E0"/>
    <w:rsid w:val="00DA2830"/>
    <w:rsid w:val="00DB78AC"/>
    <w:rsid w:val="00DE2E40"/>
    <w:rsid w:val="00DE39F3"/>
    <w:rsid w:val="00DE6945"/>
    <w:rsid w:val="00DE757A"/>
    <w:rsid w:val="00E24D4C"/>
    <w:rsid w:val="00E3212B"/>
    <w:rsid w:val="00E33119"/>
    <w:rsid w:val="00E34769"/>
    <w:rsid w:val="00E415AE"/>
    <w:rsid w:val="00E425A2"/>
    <w:rsid w:val="00E45AD3"/>
    <w:rsid w:val="00E52623"/>
    <w:rsid w:val="00E6180E"/>
    <w:rsid w:val="00E80AC0"/>
    <w:rsid w:val="00E85466"/>
    <w:rsid w:val="00EA4975"/>
    <w:rsid w:val="00EC0766"/>
    <w:rsid w:val="00F27796"/>
    <w:rsid w:val="00F611FC"/>
    <w:rsid w:val="00F63BED"/>
    <w:rsid w:val="00F7443C"/>
    <w:rsid w:val="00F76445"/>
    <w:rsid w:val="00F86F16"/>
    <w:rsid w:val="00FF55E2"/>
    <w:rsid w:val="00FF7BEE"/>
    <w:rsid w:val="01F426C5"/>
    <w:rsid w:val="032D46C2"/>
    <w:rsid w:val="06CB0518"/>
    <w:rsid w:val="06FC5475"/>
    <w:rsid w:val="078B50F9"/>
    <w:rsid w:val="11D24E50"/>
    <w:rsid w:val="1622230E"/>
    <w:rsid w:val="17513A9A"/>
    <w:rsid w:val="21690E10"/>
    <w:rsid w:val="218D45A0"/>
    <w:rsid w:val="23C86E10"/>
    <w:rsid w:val="25A026BB"/>
    <w:rsid w:val="29D44D3A"/>
    <w:rsid w:val="2B7013CC"/>
    <w:rsid w:val="2DA9773D"/>
    <w:rsid w:val="2DE007D6"/>
    <w:rsid w:val="32C84C26"/>
    <w:rsid w:val="336B7F5C"/>
    <w:rsid w:val="37323BB0"/>
    <w:rsid w:val="460A311A"/>
    <w:rsid w:val="46A721D6"/>
    <w:rsid w:val="48AB4759"/>
    <w:rsid w:val="54776BB6"/>
    <w:rsid w:val="5E8453B4"/>
    <w:rsid w:val="5F0A68C2"/>
    <w:rsid w:val="614B12C1"/>
    <w:rsid w:val="617D532A"/>
    <w:rsid w:val="68C44767"/>
    <w:rsid w:val="6AE83F12"/>
    <w:rsid w:val="6B322B95"/>
    <w:rsid w:val="6BE700A9"/>
    <w:rsid w:val="784F55D0"/>
    <w:rsid w:val="7E2C4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link w:val="22"/>
    <w:qFormat/>
    <w:uiPriority w:val="0"/>
    <w:pPr>
      <w:keepNext/>
      <w:keepLines/>
      <w:widowControl w:val="0"/>
      <w:kinsoku/>
      <w:autoSpaceDE/>
      <w:autoSpaceDN/>
      <w:adjustRightInd/>
      <w:snapToGrid/>
      <w:spacing w:before="260" w:after="260" w:line="416" w:lineRule="auto"/>
      <w:jc w:val="both"/>
      <w:textAlignment w:val="auto"/>
      <w:outlineLvl w:val="1"/>
    </w:pPr>
    <w:rPr>
      <w:rFonts w:ascii="Cambria" w:hAnsi="Cambria" w:eastAsia="宋体" w:cs="Times New Roman"/>
      <w:b/>
      <w:bCs/>
      <w:snapToGrid/>
      <w:color w:val="auto"/>
      <w:kern w:val="2"/>
      <w:sz w:val="32"/>
      <w:szCs w:val="32"/>
      <w:lang w:eastAsia="zh-CN"/>
    </w:rPr>
  </w:style>
  <w:style w:type="paragraph" w:styleId="3">
    <w:name w:val="heading 3"/>
    <w:basedOn w:val="1"/>
    <w:next w:val="1"/>
    <w:link w:val="21"/>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8"/>
    <w:qFormat/>
    <w:uiPriority w:val="0"/>
  </w:style>
  <w:style w:type="paragraph" w:styleId="5">
    <w:name w:val="Body Text"/>
    <w:basedOn w:val="1"/>
    <w:link w:val="27"/>
    <w:semiHidden/>
    <w:qFormat/>
    <w:uiPriority w:val="0"/>
    <w:rPr>
      <w:rFonts w:ascii="黑体" w:hAnsi="黑体" w:eastAsia="黑体" w:cs="黑体"/>
      <w:sz w:val="47"/>
      <w:szCs w:val="47"/>
    </w:rPr>
  </w:style>
  <w:style w:type="paragraph" w:styleId="6">
    <w:name w:val="footer"/>
    <w:basedOn w:val="1"/>
    <w:link w:val="20"/>
    <w:qFormat/>
    <w:uiPriority w:val="99"/>
    <w:pPr>
      <w:tabs>
        <w:tab w:val="center" w:pos="4153"/>
        <w:tab w:val="right" w:pos="8306"/>
      </w:tabs>
    </w:pPr>
    <w:rPr>
      <w:sz w:val="18"/>
      <w:szCs w:val="18"/>
    </w:rPr>
  </w:style>
  <w:style w:type="paragraph" w:styleId="7">
    <w:name w:val="header"/>
    <w:basedOn w:val="1"/>
    <w:link w:val="19"/>
    <w:qFormat/>
    <w:uiPriority w:val="0"/>
    <w:pPr>
      <w:tabs>
        <w:tab w:val="center" w:pos="4153"/>
        <w:tab w:val="right" w:pos="8306"/>
      </w:tabs>
      <w:jc w:val="center"/>
    </w:pPr>
    <w:rPr>
      <w:sz w:val="18"/>
      <w:szCs w:val="18"/>
    </w:rPr>
  </w:style>
  <w:style w:type="paragraph" w:styleId="8">
    <w:name w:val="toc 1"/>
    <w:basedOn w:val="1"/>
    <w:next w:val="1"/>
    <w:qFormat/>
    <w:uiPriority w:val="39"/>
    <w:rPr>
      <w:rFonts w:eastAsiaTheme="majorEastAsia"/>
      <w:sz w:val="20"/>
    </w:rPr>
  </w:style>
  <w:style w:type="paragraph" w:styleId="9">
    <w:name w:val="footnote text"/>
    <w:basedOn w:val="1"/>
    <w:link w:val="25"/>
    <w:qFormat/>
    <w:uiPriority w:val="0"/>
    <w:rPr>
      <w:sz w:val="18"/>
      <w:szCs w:val="18"/>
    </w:rPr>
  </w:style>
  <w:style w:type="paragraph" w:styleId="10">
    <w:name w:val="toc 2"/>
    <w:basedOn w:val="1"/>
    <w:next w:val="1"/>
    <w:autoRedefine/>
    <w:qFormat/>
    <w:uiPriority w:val="0"/>
    <w:pPr>
      <w:ind w:left="420" w:leftChars="200"/>
    </w:pPr>
    <w:rPr>
      <w:rFonts w:eastAsiaTheme="majorEastAsia"/>
      <w:sz w:val="20"/>
    </w:rPr>
  </w:style>
  <w:style w:type="paragraph" w:styleId="11">
    <w:name w:val="HTML Preformatted"/>
    <w:basedOn w:val="1"/>
    <w:link w:val="3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autoSpaceDE/>
      <w:autoSpaceDN/>
      <w:adjustRightInd/>
      <w:snapToGrid/>
      <w:textAlignment w:val="auto"/>
    </w:pPr>
    <w:rPr>
      <w:rFonts w:ascii="宋体" w:hAnsi="宋体" w:eastAsia="宋体" w:cs="宋体"/>
      <w:snapToGrid/>
      <w:color w:val="auto"/>
      <w:sz w:val="24"/>
      <w:szCs w:val="24"/>
      <w:lang w:eastAsia="zh-CN"/>
    </w:rPr>
  </w:style>
  <w:style w:type="paragraph" w:styleId="12">
    <w:name w:val="annotation subject"/>
    <w:basedOn w:val="4"/>
    <w:next w:val="4"/>
    <w:link w:val="29"/>
    <w:qFormat/>
    <w:uiPriority w:val="0"/>
    <w:rPr>
      <w:b/>
      <w:bCs/>
    </w:rPr>
  </w:style>
  <w:style w:type="character" w:styleId="15">
    <w:name w:val="HTML Code"/>
    <w:basedOn w:val="14"/>
    <w:unhideWhenUsed/>
    <w:qFormat/>
    <w:uiPriority w:val="99"/>
    <w:rPr>
      <w:rFonts w:ascii="宋体" w:hAnsi="宋体" w:eastAsia="宋体" w:cs="宋体"/>
      <w:sz w:val="24"/>
      <w:szCs w:val="24"/>
    </w:rPr>
  </w:style>
  <w:style w:type="character" w:styleId="16">
    <w:name w:val="annotation reference"/>
    <w:basedOn w:val="14"/>
    <w:qFormat/>
    <w:uiPriority w:val="0"/>
    <w:rPr>
      <w:sz w:val="21"/>
      <w:szCs w:val="21"/>
    </w:rPr>
  </w:style>
  <w:style w:type="character" w:styleId="17">
    <w:name w:val="footnote reference"/>
    <w:basedOn w:val="14"/>
    <w:qFormat/>
    <w:uiPriority w:val="0"/>
    <w:rPr>
      <w:vertAlign w:val="superscript"/>
    </w:rPr>
  </w:style>
  <w:style w:type="table" w:customStyle="1" w:styleId="18">
    <w:name w:val="Table Normal"/>
    <w:semiHidden/>
    <w:unhideWhenUsed/>
    <w:qFormat/>
    <w:uiPriority w:val="0"/>
    <w:tblPr>
      <w:tblCellMar>
        <w:top w:w="0" w:type="dxa"/>
        <w:left w:w="0" w:type="dxa"/>
        <w:bottom w:w="0" w:type="dxa"/>
        <w:right w:w="0" w:type="dxa"/>
      </w:tblCellMar>
    </w:tblPr>
  </w:style>
  <w:style w:type="character" w:customStyle="1" w:styleId="19">
    <w:name w:val="页眉 字符"/>
    <w:basedOn w:val="14"/>
    <w:link w:val="7"/>
    <w:qFormat/>
    <w:uiPriority w:val="0"/>
    <w:rPr>
      <w:rFonts w:eastAsia="Arial"/>
      <w:snapToGrid w:val="0"/>
      <w:color w:val="000000"/>
      <w:sz w:val="18"/>
      <w:szCs w:val="18"/>
      <w:lang w:eastAsia="en-US"/>
    </w:rPr>
  </w:style>
  <w:style w:type="character" w:customStyle="1" w:styleId="20">
    <w:name w:val="页脚 字符"/>
    <w:basedOn w:val="14"/>
    <w:link w:val="6"/>
    <w:qFormat/>
    <w:uiPriority w:val="99"/>
    <w:rPr>
      <w:rFonts w:eastAsia="Arial"/>
      <w:snapToGrid w:val="0"/>
      <w:color w:val="000000"/>
      <w:sz w:val="18"/>
      <w:szCs w:val="18"/>
      <w:lang w:eastAsia="en-US"/>
    </w:rPr>
  </w:style>
  <w:style w:type="character" w:customStyle="1" w:styleId="21">
    <w:name w:val="标题 3 字符"/>
    <w:basedOn w:val="14"/>
    <w:link w:val="3"/>
    <w:semiHidden/>
    <w:qFormat/>
    <w:uiPriority w:val="0"/>
    <w:rPr>
      <w:rFonts w:eastAsia="Arial"/>
      <w:b/>
      <w:bCs/>
      <w:snapToGrid w:val="0"/>
      <w:color w:val="000000"/>
      <w:sz w:val="32"/>
      <w:szCs w:val="32"/>
      <w:lang w:eastAsia="en-US"/>
    </w:rPr>
  </w:style>
  <w:style w:type="character" w:customStyle="1" w:styleId="22">
    <w:name w:val="标题 2 字符"/>
    <w:basedOn w:val="14"/>
    <w:link w:val="2"/>
    <w:qFormat/>
    <w:uiPriority w:val="0"/>
    <w:rPr>
      <w:rFonts w:ascii="Cambria" w:hAnsi="Cambria" w:eastAsia="宋体" w:cs="Times New Roman"/>
      <w:b/>
      <w:bCs/>
      <w:kern w:val="2"/>
      <w:sz w:val="32"/>
      <w:szCs w:val="32"/>
    </w:rPr>
  </w:style>
  <w:style w:type="paragraph" w:customStyle="1" w:styleId="23">
    <w:name w:val="修订1"/>
    <w:hidden/>
    <w:unhideWhenUsed/>
    <w:qFormat/>
    <w:uiPriority w:val="99"/>
    <w:rPr>
      <w:rFonts w:ascii="Arial" w:hAnsi="Arial" w:eastAsia="Arial" w:cs="Arial"/>
      <w:snapToGrid w:val="0"/>
      <w:color w:val="000000"/>
      <w:sz w:val="21"/>
      <w:szCs w:val="21"/>
      <w:lang w:val="en-US" w:eastAsia="en-US" w:bidi="ar-SA"/>
    </w:rPr>
  </w:style>
  <w:style w:type="paragraph" w:styleId="24">
    <w:name w:val="List Paragraph"/>
    <w:basedOn w:val="1"/>
    <w:unhideWhenUsed/>
    <w:qFormat/>
    <w:uiPriority w:val="99"/>
    <w:pPr>
      <w:ind w:firstLine="420" w:firstLineChars="200"/>
    </w:pPr>
  </w:style>
  <w:style w:type="character" w:customStyle="1" w:styleId="25">
    <w:name w:val="脚注文本 字符"/>
    <w:basedOn w:val="14"/>
    <w:link w:val="9"/>
    <w:qFormat/>
    <w:uiPriority w:val="0"/>
    <w:rPr>
      <w:rFonts w:eastAsia="Arial"/>
      <w:snapToGrid w:val="0"/>
      <w:color w:val="000000"/>
      <w:sz w:val="18"/>
      <w:szCs w:val="18"/>
      <w:lang w:eastAsia="en-US"/>
    </w:rPr>
  </w:style>
  <w:style w:type="paragraph" w:customStyle="1" w:styleId="26">
    <w:name w:val="修订2"/>
    <w:hidden/>
    <w:unhideWhenUsed/>
    <w:qFormat/>
    <w:uiPriority w:val="99"/>
    <w:rPr>
      <w:rFonts w:ascii="Arial" w:hAnsi="Arial" w:eastAsia="Arial" w:cs="Arial"/>
      <w:snapToGrid w:val="0"/>
      <w:color w:val="000000"/>
      <w:sz w:val="21"/>
      <w:szCs w:val="21"/>
      <w:lang w:val="en-US" w:eastAsia="en-US" w:bidi="ar-SA"/>
    </w:rPr>
  </w:style>
  <w:style w:type="character" w:customStyle="1" w:styleId="27">
    <w:name w:val="正文文本 字符"/>
    <w:basedOn w:val="14"/>
    <w:link w:val="5"/>
    <w:semiHidden/>
    <w:qFormat/>
    <w:uiPriority w:val="0"/>
    <w:rPr>
      <w:rFonts w:ascii="黑体" w:hAnsi="黑体" w:eastAsia="黑体" w:cs="黑体"/>
      <w:snapToGrid w:val="0"/>
      <w:color w:val="000000"/>
      <w:sz w:val="47"/>
      <w:szCs w:val="47"/>
      <w:lang w:eastAsia="en-US"/>
    </w:rPr>
  </w:style>
  <w:style w:type="character" w:customStyle="1" w:styleId="28">
    <w:name w:val="批注文字 字符"/>
    <w:basedOn w:val="14"/>
    <w:link w:val="4"/>
    <w:qFormat/>
    <w:uiPriority w:val="0"/>
    <w:rPr>
      <w:rFonts w:eastAsia="Arial"/>
      <w:snapToGrid w:val="0"/>
      <w:color w:val="000000"/>
      <w:sz w:val="21"/>
      <w:szCs w:val="21"/>
      <w:lang w:eastAsia="en-US"/>
    </w:rPr>
  </w:style>
  <w:style w:type="character" w:customStyle="1" w:styleId="29">
    <w:name w:val="批注主题 字符"/>
    <w:basedOn w:val="28"/>
    <w:link w:val="12"/>
    <w:qFormat/>
    <w:uiPriority w:val="0"/>
    <w:rPr>
      <w:rFonts w:eastAsia="Arial"/>
      <w:b/>
      <w:bCs/>
      <w:snapToGrid w:val="0"/>
      <w:color w:val="000000"/>
      <w:sz w:val="21"/>
      <w:szCs w:val="21"/>
      <w:lang w:eastAsia="en-US"/>
    </w:rPr>
  </w:style>
  <w:style w:type="character" w:customStyle="1" w:styleId="30">
    <w:name w:val="HTML 预设格式 字符"/>
    <w:basedOn w:val="14"/>
    <w:link w:val="11"/>
    <w:qFormat/>
    <w:uiPriority w:val="99"/>
    <w:rPr>
      <w:rFonts w:ascii="宋体" w:hAnsi="宋体" w:eastAsia="宋体" w:cs="宋体"/>
      <w:sz w:val="24"/>
      <w:szCs w:val="24"/>
    </w:rPr>
  </w:style>
  <w:style w:type="paragraph" w:customStyle="1" w:styleId="3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封面日期"/>
    <w:qFormat/>
    <w:uiPriority w:val="0"/>
    <w:pPr>
      <w:jc w:val="center"/>
    </w:pPr>
    <w:rPr>
      <w:rFonts w:ascii="黑体" w:hAnsi="Times New Roman" w:eastAsia="黑体" w:cs="Times New Roman"/>
      <w:spacing w:val="4"/>
      <w:sz w:val="28"/>
      <w:lang w:val="en-US" w:eastAsia="zh-CN" w:bidi="ar-SA"/>
    </w:rPr>
  </w:style>
  <w:style w:type="paragraph" w:customStyle="1" w:styleId="35">
    <w:name w:val="Revision"/>
    <w:hidden/>
    <w:unhideWhenUsed/>
    <w:qFormat/>
    <w:uiPriority w:val="99"/>
    <w:rPr>
      <w:rFonts w:ascii="Arial" w:hAnsi="Arial" w:eastAsia="Arial" w:cs="Arial"/>
      <w:snapToGrid w:val="0"/>
      <w:color w:val="000000"/>
      <w:sz w:val="21"/>
      <w:szCs w:val="21"/>
      <w:lang w:val="en-US" w:eastAsia="en-US" w:bidi="ar-SA"/>
    </w:rPr>
  </w:style>
  <w:style w:type="paragraph" w:customStyle="1" w:styleId="36">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paragraph" w:customStyle="1" w:styleId="37">
    <w:name w:val="标准书眉_偶数页"/>
    <w:basedOn w:val="1"/>
    <w:next w:val="1"/>
    <w:qFormat/>
    <w:uiPriority w:val="0"/>
    <w:pPr>
      <w:widowControl/>
      <w:tabs>
        <w:tab w:val="center" w:pos="4154"/>
        <w:tab w:val="right" w:pos="8306"/>
      </w:tabs>
      <w:spacing w:after="220"/>
      <w:jc w:val="left"/>
    </w:pPr>
    <w:rPr>
      <w:rFonts w:ascii="黑体" w:hAnsi="Times New Roman" w:eastAsia="黑体"/>
      <w:kern w:val="0"/>
      <w:sz w:val="21"/>
      <w:szCs w:val="21"/>
    </w:rPr>
  </w:style>
  <w:style w:type="paragraph" w:customStyle="1" w:styleId="38">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3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1DBDE-338E-479A-AFA0-B61CBD6AF073}">
  <ds:schemaRefs/>
</ds:datastoreItem>
</file>

<file path=docProps/app.xml><?xml version="1.0" encoding="utf-8"?>
<Properties xmlns="http://schemas.openxmlformats.org/officeDocument/2006/extended-properties" xmlns:vt="http://schemas.openxmlformats.org/officeDocument/2006/docPropsVTypes">
  <Template>Normal</Template>
  <Pages>13</Pages>
  <Words>4987</Words>
  <Characters>6394</Characters>
  <Lines>277</Lines>
  <Paragraphs>319</Paragraphs>
  <TotalTime>6</TotalTime>
  <ScaleCrop>false</ScaleCrop>
  <LinksUpToDate>false</LinksUpToDate>
  <CharactersWithSpaces>7156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2025-11-26T03:37:00Z</dcterms:created>
  <dc:creator>chen</dc:creator>
  <cp:lastModifiedBy>Amy</cp:lastModifiedBy>
  <cp:lastPrinted>2025-09-25T05:37:00Z</cp:lastPrinted>
  <dcterms:modified xsi:type="dcterms:W3CDTF">2025-12-02T08:10:32Z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2024-12-30T11:29:24Z</vt:filetime>
  </property>
  <property fmtid="{D5CDD505-2E9C-101B-9397-08002B2CF9AE}" pid="4" name="KSOTemplateDocerSaveRecord">
    <vt:lpwstr>eyJoZGlkIjoiMTUzNGMyMWMzMDdiODE1OGUzZGY4Y2FmOTI4YTAyY2EiLCJ1c2VySWQiOiI1Mzg4NzMyMzEifQ==</vt:lpwstr>
  </property>
  <property fmtid="{D5CDD505-2E9C-101B-9397-08002B2CF9AE}" pid="5" name="KSOProductBuildVer">
    <vt:lpwstr>2052-12.1.0.23125</vt:lpwstr>
  </property>
  <property fmtid="{D5CDD505-2E9C-101B-9397-08002B2CF9AE}" pid="6" name="ICV">
    <vt:lpwstr>CAE9708B697A4F09A79966487E4BE3DC_12</vt:lpwstr>
  </property>
</Properties>
</file>